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lledutableau"/>
        <w:tblpPr w:leftFromText="141" w:rightFromText="141" w:vertAnchor="page" w:horzAnchor="margin" w:tblpY="713"/>
        <w:tblW w:w="96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8"/>
        <w:gridCol w:w="1938"/>
        <w:gridCol w:w="1939"/>
        <w:gridCol w:w="1938"/>
        <w:gridCol w:w="1939"/>
      </w:tblGrid>
      <w:tr w:rsidR="00AD4115" w:rsidRPr="009832AC" w14:paraId="1D213B4C" w14:textId="77777777" w:rsidTr="0061100F">
        <w:trPr>
          <w:trHeight w:val="1043"/>
        </w:trPr>
        <w:tc>
          <w:tcPr>
            <w:tcW w:w="1938" w:type="dxa"/>
            <w:vAlign w:val="center"/>
          </w:tcPr>
          <w:p w14:paraId="0F183035" w14:textId="77777777" w:rsidR="00AD4115" w:rsidRPr="009832AC" w:rsidRDefault="00AD4115" w:rsidP="0061100F">
            <w:pPr>
              <w:jc w:val="center"/>
              <w:rPr>
                <w:noProof/>
              </w:rPr>
            </w:pPr>
            <w:r w:rsidRPr="009832AC">
              <w:rPr>
                <w:noProof/>
                <w:color w:val="000000"/>
              </w:rPr>
              <w:drawing>
                <wp:inline distT="0" distB="0" distL="0" distR="0" wp14:anchorId="1EECA2EF" wp14:editId="773379DF">
                  <wp:extent cx="936000" cy="258503"/>
                  <wp:effectExtent l="0" t="0" r="0" b="8255"/>
                  <wp:docPr id="1940578726" name="Imag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936000" cy="258503"/>
                          </a:xfrm>
                          <a:prstGeom prst="rect">
                            <a:avLst/>
                          </a:prstGeom>
                          <a:noFill/>
                          <a:ln>
                            <a:noFill/>
                          </a:ln>
                        </pic:spPr>
                      </pic:pic>
                    </a:graphicData>
                  </a:graphic>
                </wp:inline>
              </w:drawing>
            </w:r>
          </w:p>
        </w:tc>
        <w:tc>
          <w:tcPr>
            <w:tcW w:w="1938" w:type="dxa"/>
            <w:vAlign w:val="center"/>
          </w:tcPr>
          <w:p w14:paraId="2DFE127C" w14:textId="77777777" w:rsidR="00AD4115" w:rsidRPr="009832AC" w:rsidRDefault="00AD4115" w:rsidP="0061100F">
            <w:pPr>
              <w:jc w:val="center"/>
              <w:rPr>
                <w:noProof/>
              </w:rPr>
            </w:pPr>
            <w:r w:rsidRPr="009832AC">
              <w:rPr>
                <w:noProof/>
              </w:rPr>
              <w:drawing>
                <wp:inline distT="0" distB="0" distL="0" distR="0" wp14:anchorId="0CD7520E" wp14:editId="3B73A83F">
                  <wp:extent cx="982639" cy="189921"/>
                  <wp:effectExtent l="0" t="0" r="8255" b="635"/>
                  <wp:docPr id="1630964616" name="Image 4" descr="Financement de la transi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nancement de la transition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9590" cy="191264"/>
                          </a:xfrm>
                          <a:prstGeom prst="rect">
                            <a:avLst/>
                          </a:prstGeom>
                          <a:noFill/>
                          <a:ln>
                            <a:noFill/>
                          </a:ln>
                        </pic:spPr>
                      </pic:pic>
                    </a:graphicData>
                  </a:graphic>
                </wp:inline>
              </w:drawing>
            </w:r>
          </w:p>
        </w:tc>
        <w:tc>
          <w:tcPr>
            <w:tcW w:w="1939" w:type="dxa"/>
            <w:vAlign w:val="center"/>
          </w:tcPr>
          <w:p w14:paraId="0717DF7D" w14:textId="77777777" w:rsidR="00AD4115" w:rsidRPr="009832AC" w:rsidRDefault="00AD4115" w:rsidP="0061100F">
            <w:pPr>
              <w:jc w:val="center"/>
              <w:rPr>
                <w:noProof/>
              </w:rPr>
            </w:pPr>
            <w:r w:rsidRPr="009832AC">
              <w:rPr>
                <w:noProof/>
              </w:rPr>
              <w:drawing>
                <wp:inline distT="0" distB="0" distL="0" distR="0" wp14:anchorId="5F0A4576" wp14:editId="2817B222">
                  <wp:extent cx="982639" cy="218947"/>
                  <wp:effectExtent l="0" t="0" r="0" b="0"/>
                  <wp:docPr id="1041154323" name="Image 5" descr="Banque des territoires | Groupe Cais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que des territoires | Groupe Caiss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8136" cy="220172"/>
                          </a:xfrm>
                          <a:prstGeom prst="rect">
                            <a:avLst/>
                          </a:prstGeom>
                          <a:noFill/>
                          <a:ln>
                            <a:noFill/>
                          </a:ln>
                        </pic:spPr>
                      </pic:pic>
                    </a:graphicData>
                  </a:graphic>
                </wp:inline>
              </w:drawing>
            </w:r>
          </w:p>
        </w:tc>
        <w:tc>
          <w:tcPr>
            <w:tcW w:w="1938" w:type="dxa"/>
            <w:vAlign w:val="center"/>
          </w:tcPr>
          <w:p w14:paraId="39E579FB" w14:textId="77777777" w:rsidR="00AD4115" w:rsidRPr="009832AC" w:rsidRDefault="00AD4115" w:rsidP="0061100F">
            <w:pPr>
              <w:jc w:val="center"/>
              <w:rPr>
                <w:noProof/>
              </w:rPr>
            </w:pPr>
            <w:r w:rsidRPr="009832AC">
              <w:rPr>
                <w:noProof/>
              </w:rPr>
              <w:drawing>
                <wp:inline distT="0" distB="0" distL="0" distR="0" wp14:anchorId="30199C44" wp14:editId="618CB557">
                  <wp:extent cx="936345" cy="40129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60553" cy="411665"/>
                          </a:xfrm>
                          <a:prstGeom prst="rect">
                            <a:avLst/>
                          </a:prstGeom>
                        </pic:spPr>
                      </pic:pic>
                    </a:graphicData>
                  </a:graphic>
                </wp:inline>
              </w:drawing>
            </w:r>
          </w:p>
        </w:tc>
        <w:tc>
          <w:tcPr>
            <w:tcW w:w="1939" w:type="dxa"/>
            <w:vAlign w:val="center"/>
          </w:tcPr>
          <w:p w14:paraId="3385552C" w14:textId="77777777" w:rsidR="00AD4115" w:rsidRPr="009832AC" w:rsidRDefault="00AD4115" w:rsidP="0061100F">
            <w:pPr>
              <w:jc w:val="center"/>
              <w:rPr>
                <w:noProof/>
              </w:rPr>
            </w:pPr>
            <w:r w:rsidRPr="009832AC">
              <w:rPr>
                <w:noProof/>
              </w:rPr>
              <w:drawing>
                <wp:inline distT="0" distB="0" distL="0" distR="0" wp14:anchorId="6E15C63C" wp14:editId="5462E0C2">
                  <wp:extent cx="993567" cy="212141"/>
                  <wp:effectExtent l="0" t="0" r="0" b="0"/>
                  <wp:docPr id="171340322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5724" cy="214737"/>
                          </a:xfrm>
                          <a:prstGeom prst="rect">
                            <a:avLst/>
                          </a:prstGeom>
                          <a:noFill/>
                          <a:ln>
                            <a:noFill/>
                          </a:ln>
                        </pic:spPr>
                      </pic:pic>
                    </a:graphicData>
                  </a:graphic>
                </wp:inline>
              </w:drawing>
            </w:r>
          </w:p>
        </w:tc>
      </w:tr>
    </w:tbl>
    <w:p w14:paraId="5273EF1B" w14:textId="0CCC6418" w:rsidR="00BA2436" w:rsidRDefault="007A524E" w:rsidP="0066358B">
      <w:pPr>
        <w:rPr>
          <w:noProof/>
        </w:rPr>
      </w:pPr>
      <w:r w:rsidRPr="000519FA">
        <w:rPr>
          <w:noProof/>
        </w:rPr>
        <w:drawing>
          <wp:anchor distT="0" distB="0" distL="114300" distR="114300" simplePos="0" relativeHeight="251657216" behindDoc="0" locked="0" layoutInCell="1" allowOverlap="1" wp14:anchorId="23253B1E" wp14:editId="1766E75F">
            <wp:simplePos x="0" y="0"/>
            <wp:positionH relativeFrom="margin">
              <wp:align>center</wp:align>
            </wp:positionH>
            <wp:positionV relativeFrom="page">
              <wp:posOffset>1183122</wp:posOffset>
            </wp:positionV>
            <wp:extent cx="1980398" cy="495300"/>
            <wp:effectExtent l="0" t="0" r="0" b="0"/>
            <wp:wrapNone/>
            <wp:docPr id="1283637505" name="Image 2" descr="Une image contenant Police, Graphiqu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37505" name="Image 2" descr="Une image contenant Police, Graphique, capture d’écran, logo&#10;&#10;Description générée automatiquemen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0398" cy="495300"/>
                    </a:xfrm>
                    <a:prstGeom prst="rect">
                      <a:avLst/>
                    </a:prstGeom>
                    <a:noFill/>
                  </pic:spPr>
                </pic:pic>
              </a:graphicData>
            </a:graphic>
            <wp14:sizeRelH relativeFrom="page">
              <wp14:pctWidth>0</wp14:pctWidth>
            </wp14:sizeRelH>
            <wp14:sizeRelV relativeFrom="page">
              <wp14:pctHeight>0</wp14:pctHeight>
            </wp14:sizeRelV>
          </wp:anchor>
        </w:drawing>
      </w:r>
    </w:p>
    <w:p w14:paraId="0ADDD8A4" w14:textId="77777777" w:rsidR="00842D6D" w:rsidRDefault="00842D6D" w:rsidP="00016D75">
      <w:pPr>
        <w:rPr>
          <w:rFonts w:ascii="Century Gothic" w:hAnsi="Century Gothic"/>
          <w:i/>
          <w:iCs/>
          <w:sz w:val="18"/>
          <w:szCs w:val="18"/>
        </w:rPr>
      </w:pPr>
    </w:p>
    <w:p w14:paraId="40188B53" w14:textId="77777777" w:rsidR="00F47A89" w:rsidRDefault="00F47A89" w:rsidP="00F47A89">
      <w:pPr>
        <w:jc w:val="right"/>
        <w:rPr>
          <w:i/>
          <w:iCs/>
        </w:rPr>
      </w:pPr>
      <w:r>
        <w:rPr>
          <w:rFonts w:ascii="Century Gothic" w:hAnsi="Century Gothic"/>
          <w:i/>
          <w:iCs/>
          <w:sz w:val="18"/>
          <w:szCs w:val="18"/>
        </w:rPr>
        <w:t>Communiqué de Presse</w:t>
      </w:r>
    </w:p>
    <w:p w14:paraId="08A5D762" w14:textId="3DA29914" w:rsidR="00F47A89" w:rsidRDefault="00F47A89" w:rsidP="00F47A89">
      <w:pPr>
        <w:pStyle w:val="Titre1"/>
        <w:jc w:val="both"/>
        <w:rPr>
          <w:rFonts w:ascii="Century Gothic" w:hAnsi="Century Gothic"/>
          <w:b/>
          <w:bCs/>
          <w:color w:val="0A0F5A"/>
        </w:rPr>
      </w:pPr>
      <w:r>
        <w:rPr>
          <w:rFonts w:ascii="Century Gothic" w:hAnsi="Century Gothic"/>
          <w:b/>
          <w:bCs/>
          <w:color w:val="0A0F5A"/>
        </w:rPr>
        <w:t xml:space="preserve">Gireve, acteur de référence dans la recharge de véhicules électriques, réalise une levée de fonds pour investir dans de nouveaux services et </w:t>
      </w:r>
      <w:r w:rsidR="00296D34">
        <w:rPr>
          <w:rFonts w:ascii="Century Gothic" w:hAnsi="Century Gothic"/>
          <w:b/>
          <w:bCs/>
          <w:color w:val="0A0F5A"/>
        </w:rPr>
        <w:t>con</w:t>
      </w:r>
      <w:r w:rsidR="00DF6879">
        <w:rPr>
          <w:rFonts w:ascii="Century Gothic" w:hAnsi="Century Gothic"/>
          <w:b/>
          <w:bCs/>
          <w:color w:val="0A0F5A"/>
        </w:rPr>
        <w:t>fi</w:t>
      </w:r>
      <w:r w:rsidR="00296D34">
        <w:rPr>
          <w:rFonts w:ascii="Century Gothic" w:hAnsi="Century Gothic"/>
          <w:b/>
          <w:bCs/>
          <w:color w:val="0A0F5A"/>
        </w:rPr>
        <w:t>rmer</w:t>
      </w:r>
      <w:r w:rsidR="00DF6879">
        <w:rPr>
          <w:rFonts w:ascii="Century Gothic" w:hAnsi="Century Gothic"/>
          <w:b/>
          <w:bCs/>
          <w:color w:val="0A0F5A"/>
        </w:rPr>
        <w:t xml:space="preserve"> </w:t>
      </w:r>
      <w:r>
        <w:rPr>
          <w:rFonts w:ascii="Century Gothic" w:hAnsi="Century Gothic"/>
          <w:b/>
          <w:bCs/>
          <w:color w:val="0A0F5A"/>
        </w:rPr>
        <w:t>son leadership mondial</w:t>
      </w:r>
    </w:p>
    <w:p w14:paraId="5D44711D" w14:textId="77777777" w:rsidR="00F47A89" w:rsidRDefault="00F47A89" w:rsidP="00F47A89"/>
    <w:p w14:paraId="25B44D50" w14:textId="6204C907" w:rsidR="00F47A89" w:rsidRDefault="00F47A89" w:rsidP="00F47A89">
      <w:pPr>
        <w:jc w:val="both"/>
        <w:rPr>
          <w:rFonts w:ascii="Century Gothic" w:hAnsi="Century Gothic"/>
          <w:b/>
          <w:bCs/>
        </w:rPr>
      </w:pPr>
      <w:r>
        <w:rPr>
          <w:rFonts w:ascii="Century Gothic" w:hAnsi="Century Gothic"/>
          <w:b/>
          <w:bCs/>
        </w:rPr>
        <w:t xml:space="preserve">Paris, </w:t>
      </w:r>
      <w:r w:rsidR="009F1DB4">
        <w:rPr>
          <w:rFonts w:ascii="Century Gothic" w:hAnsi="Century Gothic"/>
          <w:b/>
          <w:bCs/>
        </w:rPr>
        <w:t>3 juin</w:t>
      </w:r>
      <w:r>
        <w:rPr>
          <w:rFonts w:ascii="Century Gothic" w:hAnsi="Century Gothic"/>
          <w:b/>
          <w:bCs/>
        </w:rPr>
        <w:t xml:space="preserve"> 2024 – L’opération voit l’entrée au capital de l’investisseur </w:t>
      </w:r>
      <w:proofErr w:type="spellStart"/>
      <w:r>
        <w:rPr>
          <w:rFonts w:ascii="Century Gothic" w:hAnsi="Century Gothic"/>
          <w:b/>
          <w:bCs/>
        </w:rPr>
        <w:t>Partech</w:t>
      </w:r>
      <w:proofErr w:type="spellEnd"/>
      <w:r>
        <w:rPr>
          <w:rFonts w:ascii="Century Gothic" w:hAnsi="Century Gothic"/>
          <w:b/>
          <w:bCs/>
        </w:rPr>
        <w:t xml:space="preserve">, au travers de son fonds Impact, renforcée par de nouveaux apports en capital de la part des actionnaires existants. L’opération d’un montant de 20M€ a pour objectif de poursuivre le développement de la plateforme en Europe et à l’International et de </w:t>
      </w:r>
      <w:r w:rsidR="00A34CB1">
        <w:rPr>
          <w:rFonts w:ascii="Century Gothic" w:hAnsi="Century Gothic"/>
          <w:b/>
          <w:bCs/>
        </w:rPr>
        <w:t xml:space="preserve">déployer et </w:t>
      </w:r>
      <w:r>
        <w:rPr>
          <w:rFonts w:ascii="Century Gothic" w:hAnsi="Century Gothic"/>
          <w:b/>
          <w:bCs/>
        </w:rPr>
        <w:t xml:space="preserve">développer ses nouveaux services comme le Plug &amp; Charge et le Clearing. Elle permet également de continuer le développement de ses solutions de Données et Conseil. </w:t>
      </w:r>
    </w:p>
    <w:p w14:paraId="1106BF7F" w14:textId="77777777" w:rsidR="00F47A89" w:rsidRDefault="00F47A89" w:rsidP="00F47A89">
      <w:pPr>
        <w:pStyle w:val="Titre1"/>
        <w:jc w:val="both"/>
        <w:rPr>
          <w:rFonts w:ascii="Century Gothic" w:hAnsi="Century Gothic"/>
          <w:b/>
          <w:bCs/>
          <w:color w:val="0A0F5A"/>
          <w:sz w:val="24"/>
          <w:szCs w:val="24"/>
        </w:rPr>
      </w:pPr>
      <w:r>
        <w:rPr>
          <w:rFonts w:ascii="Century Gothic" w:hAnsi="Century Gothic"/>
          <w:b/>
          <w:bCs/>
          <w:color w:val="0A0F5A"/>
          <w:sz w:val="24"/>
          <w:szCs w:val="24"/>
        </w:rPr>
        <w:t>Gireve, acteur mondial incontournable de la recharge électrique et de la décarbonation des transports</w:t>
      </w:r>
    </w:p>
    <w:p w14:paraId="4AED1EE9" w14:textId="77777777" w:rsidR="00F47A89" w:rsidRDefault="00F47A89" w:rsidP="00F47A89">
      <w:pPr>
        <w:jc w:val="both"/>
        <w:rPr>
          <w:rFonts w:ascii="Century Gothic" w:hAnsi="Century Gothic"/>
        </w:rPr>
      </w:pPr>
      <w:r>
        <w:rPr>
          <w:rFonts w:ascii="Century Gothic" w:hAnsi="Century Gothic"/>
        </w:rPr>
        <w:t xml:space="preserve">Présent dans 35 pays Gireve est un acteur central de la recharge des véhicules électriques. Partenaire clé des acteurs du secteur, Gireve permet de connecter les acteurs de la mobilité aux différentes bornes de recharges et permettre ainsi de rendre la recharge des véhicules électriques facile et fluide partout dans le monde. Avec plus de 500 000 points de recharge connectés à sa plateforme, Gireve enregistre plus de 100 millions de sessions de recharge par an et est aujourd’hui un acteur incontournable et structurant au sein de l’écosystème de la mobilité décarbonée. </w:t>
      </w:r>
    </w:p>
    <w:p w14:paraId="05C7BE32" w14:textId="77777777" w:rsidR="00F47A89" w:rsidRDefault="00F47A89" w:rsidP="00F47A89">
      <w:pPr>
        <w:pStyle w:val="Titre1"/>
        <w:jc w:val="both"/>
        <w:rPr>
          <w:rFonts w:ascii="Century Gothic" w:hAnsi="Century Gothic"/>
          <w:b/>
          <w:bCs/>
          <w:color w:val="0A0F5A"/>
          <w:sz w:val="24"/>
          <w:szCs w:val="24"/>
        </w:rPr>
      </w:pPr>
      <w:r>
        <w:rPr>
          <w:rFonts w:ascii="Century Gothic" w:hAnsi="Century Gothic"/>
          <w:b/>
          <w:bCs/>
          <w:color w:val="0A0F5A"/>
          <w:sz w:val="24"/>
          <w:szCs w:val="24"/>
        </w:rPr>
        <w:t>Qualité, création de valeur et innovation sont au cœur de la plateforme</w:t>
      </w:r>
    </w:p>
    <w:p w14:paraId="5AD826B4" w14:textId="77777777" w:rsidR="00F47A89" w:rsidRDefault="00F47A89" w:rsidP="00F47A89">
      <w:pPr>
        <w:pStyle w:val="Titre4"/>
        <w:jc w:val="both"/>
        <w:rPr>
          <w:rFonts w:ascii="Century Gothic" w:eastAsiaTheme="minorHAnsi" w:hAnsi="Century Gothic" w:cstheme="minorBidi"/>
          <w:i w:val="0"/>
          <w:iCs w:val="0"/>
          <w:color w:val="auto"/>
        </w:rPr>
      </w:pPr>
      <w:r>
        <w:rPr>
          <w:rFonts w:ascii="Century Gothic" w:eastAsiaTheme="minorHAnsi" w:hAnsi="Century Gothic" w:cstheme="minorBidi"/>
          <w:i w:val="0"/>
          <w:iCs w:val="0"/>
          <w:color w:val="auto"/>
        </w:rPr>
        <w:t xml:space="preserve">La plateforme Gireve permet déjà de faciliter la contractualisation, la facturation, l’échange de données entre les différents acteurs du secteur. Forte de cette nouvelle levée de fonds, la société pourra accroître la valeur créée pour ses clients, en accélérant notamment l’intégration de nouveaux services innovants comme le clearing ou le Plug &amp; Charge. La société se donne également les moyens de financer la poursuite de son développement en Europe et à l’International. </w:t>
      </w:r>
    </w:p>
    <w:p w14:paraId="3151BD7B" w14:textId="77777777" w:rsidR="00F47A89" w:rsidRDefault="00F47A89" w:rsidP="00F47A89">
      <w:pPr>
        <w:pStyle w:val="Titre4"/>
        <w:jc w:val="both"/>
        <w:rPr>
          <w:rFonts w:ascii="Century Gothic" w:hAnsi="Century Gothic"/>
          <w:color w:val="auto"/>
        </w:rPr>
      </w:pPr>
    </w:p>
    <w:p w14:paraId="27DED55A" w14:textId="77777777" w:rsidR="00F47A89" w:rsidRDefault="00F47A89" w:rsidP="00F47A89">
      <w:pPr>
        <w:jc w:val="both"/>
        <w:rPr>
          <w:rFonts w:ascii="Century Gothic" w:hAnsi="Century Gothic"/>
        </w:rPr>
      </w:pPr>
      <w:r>
        <w:rPr>
          <w:rFonts w:ascii="Century Gothic" w:hAnsi="Century Gothic"/>
          <w:b/>
          <w:bCs/>
        </w:rPr>
        <w:t xml:space="preserve">Arnaud Minvielle et Rémi Said, General Partners de </w:t>
      </w:r>
      <w:proofErr w:type="spellStart"/>
      <w:r>
        <w:rPr>
          <w:rFonts w:ascii="Century Gothic" w:hAnsi="Century Gothic"/>
          <w:b/>
          <w:bCs/>
        </w:rPr>
        <w:t>Partech</w:t>
      </w:r>
      <w:proofErr w:type="spellEnd"/>
      <w:r>
        <w:rPr>
          <w:rFonts w:ascii="Century Gothic" w:hAnsi="Century Gothic"/>
          <w:b/>
          <w:bCs/>
        </w:rPr>
        <w:t xml:space="preserve"> Impact</w:t>
      </w:r>
      <w:r>
        <w:rPr>
          <w:rFonts w:ascii="Century Gothic" w:hAnsi="Century Gothic"/>
        </w:rPr>
        <w:t> : « </w:t>
      </w:r>
      <w:proofErr w:type="spellStart"/>
      <w:r>
        <w:rPr>
          <w:rFonts w:ascii="Century Gothic" w:eastAsia="Times New Roman" w:hAnsi="Century Gothic"/>
        </w:rPr>
        <w:t>Partech</w:t>
      </w:r>
      <w:proofErr w:type="spellEnd"/>
      <w:r>
        <w:rPr>
          <w:rFonts w:ascii="Century Gothic" w:eastAsia="Times New Roman" w:hAnsi="Century Gothic"/>
        </w:rPr>
        <w:t xml:space="preserve"> Impact est ravi de pouvoir nouer ce partenariat avec Gireve. Nous avons été séduits par la position centrale et essentielle de la plateforme dans le développement du Véhicule Electrique en Europe, la capacité d'innovation technologique, la forte culture du </w:t>
      </w:r>
      <w:r>
        <w:rPr>
          <w:rFonts w:ascii="Century Gothic" w:eastAsia="Times New Roman" w:hAnsi="Century Gothic"/>
        </w:rPr>
        <w:lastRenderedPageBreak/>
        <w:t>service client et l'engagement et la qualité des équipes. Gireve a tous les atouts pour devenir un leader mondial incontournable de cette nouvelle industrie »</w:t>
      </w:r>
    </w:p>
    <w:p w14:paraId="2AABA3FB" w14:textId="77777777" w:rsidR="00F47A89" w:rsidRDefault="00F47A89" w:rsidP="00F47A89">
      <w:pPr>
        <w:jc w:val="both"/>
        <w:rPr>
          <w:rFonts w:ascii="Century Gothic" w:hAnsi="Century Gothic"/>
        </w:rPr>
      </w:pPr>
      <w:r>
        <w:rPr>
          <w:rFonts w:ascii="Century Gothic" w:hAnsi="Century Gothic"/>
          <w:b/>
          <w:bCs/>
        </w:rPr>
        <w:t>Eric Plaquet, Président de Gireve</w:t>
      </w:r>
      <w:r>
        <w:rPr>
          <w:rFonts w:ascii="Century Gothic" w:hAnsi="Century Gothic"/>
        </w:rPr>
        <w:t xml:space="preserve"> : « Nous sommes ravis d’accueillir </w:t>
      </w:r>
      <w:proofErr w:type="spellStart"/>
      <w:r>
        <w:rPr>
          <w:rFonts w:ascii="Century Gothic" w:hAnsi="Century Gothic"/>
        </w:rPr>
        <w:t>Partech</w:t>
      </w:r>
      <w:proofErr w:type="spellEnd"/>
      <w:r>
        <w:rPr>
          <w:rFonts w:ascii="Century Gothic" w:hAnsi="Century Gothic"/>
        </w:rPr>
        <w:t xml:space="preserve"> Impact au capital de Gireve. Le soutien d’un investisseur de premier plan est en ligne avec notre logique de croissance </w:t>
      </w:r>
      <w:proofErr w:type="gramStart"/>
      <w:r>
        <w:rPr>
          <w:rFonts w:ascii="Century Gothic" w:hAnsi="Century Gothic"/>
        </w:rPr>
        <w:t>au</w:t>
      </w:r>
      <w:proofErr w:type="gramEnd"/>
      <w:r>
        <w:rPr>
          <w:rFonts w:ascii="Century Gothic" w:hAnsi="Century Gothic"/>
        </w:rPr>
        <w:t xml:space="preserve"> plan mondial dans la phase actuelle de notre développement. L’alignement stratégique est fort et les valeurs partagées. Avec cette levée de fonds, nous finançons le plan d’enrichissement continu de nos services pour proposer une plateforme toujours plus performante et qualitative. Nous nous félicitons également de la confiance renouvelée de nos actionnaires historiques, qui nous accompagnent dans cette démarche de création de valeur et d’innovation. Un grand bravo aux fantastiques équipes de Gireve qui chaque jour rendent l’aventure possible »</w:t>
      </w:r>
    </w:p>
    <w:p w14:paraId="15BE9633" w14:textId="2F64D5F4" w:rsidR="00F47A89" w:rsidRDefault="00F47A89" w:rsidP="00F47A89">
      <w:pPr>
        <w:jc w:val="both"/>
        <w:rPr>
          <w:rFonts w:ascii="Century Gothic" w:hAnsi="Century Gothic"/>
        </w:rPr>
      </w:pPr>
      <w:r>
        <w:rPr>
          <w:rFonts w:ascii="Century Gothic" w:hAnsi="Century Gothic"/>
          <w:b/>
          <w:bCs/>
        </w:rPr>
        <w:t xml:space="preserve">Sophie </w:t>
      </w:r>
      <w:proofErr w:type="spellStart"/>
      <w:r>
        <w:rPr>
          <w:rFonts w:ascii="Century Gothic" w:hAnsi="Century Gothic"/>
          <w:b/>
          <w:bCs/>
        </w:rPr>
        <w:t>Paturle</w:t>
      </w:r>
      <w:proofErr w:type="spellEnd"/>
      <w:r>
        <w:rPr>
          <w:rFonts w:ascii="Century Gothic" w:hAnsi="Century Gothic"/>
          <w:b/>
          <w:bCs/>
        </w:rPr>
        <w:t xml:space="preserve">, </w:t>
      </w:r>
      <w:proofErr w:type="spellStart"/>
      <w:r w:rsidR="004537BC">
        <w:rPr>
          <w:rFonts w:ascii="Century Gothic" w:hAnsi="Century Gothic"/>
          <w:b/>
          <w:bCs/>
        </w:rPr>
        <w:t>M</w:t>
      </w:r>
      <w:r>
        <w:rPr>
          <w:rFonts w:ascii="Century Gothic" w:hAnsi="Century Gothic"/>
          <w:b/>
          <w:bCs/>
        </w:rPr>
        <w:t>anaging</w:t>
      </w:r>
      <w:proofErr w:type="spellEnd"/>
      <w:r>
        <w:rPr>
          <w:rFonts w:ascii="Century Gothic" w:hAnsi="Century Gothic"/>
          <w:b/>
          <w:bCs/>
        </w:rPr>
        <w:t xml:space="preserve"> Partner de Demeter</w:t>
      </w:r>
      <w:r>
        <w:rPr>
          <w:rFonts w:ascii="Century Gothic" w:hAnsi="Century Gothic"/>
        </w:rPr>
        <w:t xml:space="preserve"> : « Avec le FMET (Fonds de Modernisation Ecologique des Transports), géré par Demeter, nous sommes fiers d’avoir contribué à la montée en puissance de Gireve, acteur majeur de l’interopérabilité des bornes de recharge pour véhicules électriques - élément clé du développement du marché du VE -, et très heureux d’accueillir </w:t>
      </w:r>
      <w:proofErr w:type="spellStart"/>
      <w:r>
        <w:rPr>
          <w:rFonts w:ascii="Century Gothic" w:hAnsi="Century Gothic"/>
        </w:rPr>
        <w:t>Partech</w:t>
      </w:r>
      <w:proofErr w:type="spellEnd"/>
      <w:r>
        <w:rPr>
          <w:rFonts w:ascii="Century Gothic" w:hAnsi="Century Gothic"/>
        </w:rPr>
        <w:t xml:space="preserve"> à bord pour accélérer la réalisation du formidable potentiel de Gireve, conduite par Eric Plaquet et la remarquable équipe qui l’entoure. »</w:t>
      </w:r>
    </w:p>
    <w:p w14:paraId="73A8E052" w14:textId="41222A00" w:rsidR="004537BC" w:rsidRDefault="004537BC" w:rsidP="004537BC">
      <w:pPr>
        <w:jc w:val="both"/>
        <w:rPr>
          <w:rFonts w:ascii="Century Gothic" w:hAnsi="Century Gothic" w:cs="Calibri"/>
        </w:rPr>
      </w:pPr>
      <w:r>
        <w:rPr>
          <w:rFonts w:ascii="Century Gothic" w:hAnsi="Century Gothic" w:cs="Calibri"/>
          <w:b/>
          <w:bCs/>
        </w:rPr>
        <w:t xml:space="preserve">Olivier Dubois, Directeur mobilité électrique groupe EDF : </w:t>
      </w:r>
      <w:r>
        <w:rPr>
          <w:rFonts w:ascii="Century Gothic" w:hAnsi="Century Gothic" w:cs="Calibri"/>
        </w:rPr>
        <w:t xml:space="preserve">« La réduction des émissions de CO2 est un objectif prioritaire du groupe EDF qui fait du développement de la mobilité électrique un axe majeur de sa stratégie. Dans ce cadre, l’électricité décarbonée et le développement des nouveaux usages électriques constituent la solution d’avenir pour des transports plus respectueux de l’environnement. Aux côtés de </w:t>
      </w:r>
      <w:r w:rsidR="00444D88">
        <w:rPr>
          <w:rFonts w:ascii="Century Gothic" w:hAnsi="Century Gothic" w:cs="Calibri"/>
        </w:rPr>
        <w:t>Gireve</w:t>
      </w:r>
      <w:r>
        <w:rPr>
          <w:rFonts w:ascii="Century Gothic" w:hAnsi="Century Gothic" w:cs="Calibri"/>
        </w:rPr>
        <w:t xml:space="preserve"> depuis 2013 pour le développement de l'interopérabilité, nous sommes convaincus que </w:t>
      </w:r>
      <w:r w:rsidR="00444D88">
        <w:rPr>
          <w:rFonts w:ascii="Century Gothic" w:hAnsi="Century Gothic" w:cs="Calibri"/>
        </w:rPr>
        <w:t>Gireve</w:t>
      </w:r>
      <w:r>
        <w:rPr>
          <w:rFonts w:ascii="Century Gothic" w:hAnsi="Century Gothic" w:cs="Calibri"/>
        </w:rPr>
        <w:t xml:space="preserve"> est l’acteur clé pour accompagner le passage à l’échelle de la recharge accessible au public et développer de nouveaux services. Le développement de son activité est majeur pour continuer d’assoir sa position dans l’écosystème de la mobilité électrique. »</w:t>
      </w:r>
    </w:p>
    <w:p w14:paraId="2808145B" w14:textId="235AEA17" w:rsidR="00F47A89" w:rsidRDefault="00F47A89" w:rsidP="00F47A89">
      <w:pPr>
        <w:jc w:val="both"/>
        <w:rPr>
          <w:rFonts w:ascii="Century Gothic" w:hAnsi="Century Gothic"/>
        </w:rPr>
      </w:pPr>
      <w:r>
        <w:rPr>
          <w:rFonts w:ascii="Century Gothic" w:hAnsi="Century Gothic" w:cs="Calibri"/>
          <w:b/>
          <w:bCs/>
        </w:rPr>
        <w:t xml:space="preserve">Pierre de </w:t>
      </w:r>
      <w:proofErr w:type="spellStart"/>
      <w:r>
        <w:rPr>
          <w:rFonts w:ascii="Century Gothic" w:hAnsi="Century Gothic" w:cs="Calibri"/>
          <w:b/>
          <w:bCs/>
        </w:rPr>
        <w:t>Firmas</w:t>
      </w:r>
      <w:proofErr w:type="spellEnd"/>
      <w:r>
        <w:rPr>
          <w:rFonts w:ascii="Century Gothic" w:hAnsi="Century Gothic" w:cs="Calibri"/>
          <w:b/>
          <w:bCs/>
        </w:rPr>
        <w:t xml:space="preserve">, </w:t>
      </w:r>
      <w:r w:rsidR="004537BC">
        <w:rPr>
          <w:rFonts w:ascii="Century Gothic" w:hAnsi="Century Gothic" w:cs="Calibri"/>
          <w:b/>
          <w:bCs/>
        </w:rPr>
        <w:t>D</w:t>
      </w:r>
      <w:r>
        <w:rPr>
          <w:rFonts w:ascii="Century Gothic" w:hAnsi="Century Gothic" w:cs="Calibri"/>
          <w:b/>
          <w:bCs/>
        </w:rPr>
        <w:t xml:space="preserve">irecteur de la mobilité électrique chez Enedis : </w:t>
      </w:r>
      <w:r>
        <w:rPr>
          <w:rFonts w:ascii="Century Gothic" w:hAnsi="Century Gothic" w:cs="Calibri"/>
        </w:rPr>
        <w:t>« En tant qu’entreprise de service public et 1</w:t>
      </w:r>
      <w:r>
        <w:rPr>
          <w:rFonts w:ascii="Century Gothic" w:hAnsi="Century Gothic" w:cs="Calibri"/>
          <w:vertAlign w:val="superscript"/>
        </w:rPr>
        <w:t>ère</w:t>
      </w:r>
      <w:r>
        <w:rPr>
          <w:rFonts w:ascii="Century Gothic" w:hAnsi="Century Gothic" w:cs="Calibri"/>
        </w:rPr>
        <w:t xml:space="preserve"> entreprise à mission du secteur de l’énergie, Enedis est pleinement engagée dans le développement de la mobilité électrique en France et l’accès à la recharge partout et pour tous. Enedis accompagne depuis l’origine Gireve, acteur clé de l’écosystème en Europe. Nous sommes ravis de lui renouveler aujourd’hui notre soutien en participant à cette augmentation de capital qui lui donne les moyens de financer une nouvelle phase de son développement »</w:t>
      </w:r>
    </w:p>
    <w:p w14:paraId="6972508D" w14:textId="77777777" w:rsidR="00C46D17" w:rsidRDefault="00C46D17" w:rsidP="00C46D17">
      <w:pPr>
        <w:pBdr>
          <w:bottom w:val="single" w:sz="12" w:space="1" w:color="auto"/>
        </w:pBdr>
        <w:jc w:val="both"/>
        <w:rPr>
          <w:rFonts w:ascii="Century Gothic" w:hAnsi="Century Gothic"/>
        </w:rPr>
      </w:pPr>
      <w:r>
        <w:rPr>
          <w:rFonts w:ascii="Century Gothic" w:eastAsia="Calibri" w:hAnsi="Century Gothic" w:cs="Calibri"/>
          <w:b/>
          <w:bCs/>
        </w:rPr>
        <w:t xml:space="preserve">Gautier </w:t>
      </w:r>
      <w:proofErr w:type="spellStart"/>
      <w:r>
        <w:rPr>
          <w:rFonts w:ascii="Century Gothic" w:eastAsia="Calibri" w:hAnsi="Century Gothic" w:cs="Calibri"/>
          <w:b/>
          <w:bCs/>
        </w:rPr>
        <w:t>Chatelus</w:t>
      </w:r>
      <w:proofErr w:type="spellEnd"/>
      <w:r>
        <w:rPr>
          <w:rFonts w:ascii="Century Gothic" w:eastAsia="Calibri" w:hAnsi="Century Gothic" w:cs="Calibri"/>
          <w:b/>
          <w:bCs/>
        </w:rPr>
        <w:t>, Directeur Adjoint Infrastructure et mobilité à la</w:t>
      </w:r>
      <w:r>
        <w:rPr>
          <w:rFonts w:ascii="Century Gothic" w:eastAsia="Calibri" w:hAnsi="Century Gothic" w:cs="Calibri"/>
        </w:rPr>
        <w:t xml:space="preserve"> </w:t>
      </w:r>
      <w:r>
        <w:rPr>
          <w:rFonts w:ascii="Century Gothic" w:eastAsia="Calibri" w:hAnsi="Century Gothic" w:cs="Calibri"/>
          <w:b/>
          <w:bCs/>
        </w:rPr>
        <w:t>Banque des Territoires</w:t>
      </w:r>
      <w:r>
        <w:rPr>
          <w:rFonts w:ascii="Century Gothic" w:hAnsi="Century Gothic"/>
          <w:b/>
          <w:bCs/>
        </w:rPr>
        <w:t xml:space="preserve"> </w:t>
      </w:r>
      <w:r>
        <w:rPr>
          <w:rFonts w:ascii="Century Gothic" w:hAnsi="Century Gothic"/>
        </w:rPr>
        <w:t>: « Le déploiement des bornes de recharge en France est un enjeu prioritaire pour la Banque des Territoires. Gireve est un acteur historique, partenaire essentiel des pouvoirs publics comme des acteurs privés, pour le développement de l’électromobilité. En participant à cette nouvelle levée de fonds, nous sommes vraiment très heureux de pouvoir poursuivre notre soutien historique à la société sur son métier de base mais également dans les innovations qu’elle porte (Plug &amp; Charge et Smart Charging notamment) dans une dynamique favorable pour tout l’écosystème. »</w:t>
      </w:r>
    </w:p>
    <w:p w14:paraId="08C20F8C" w14:textId="77777777" w:rsidR="007A524E" w:rsidRDefault="007A524E" w:rsidP="00C46D17">
      <w:pPr>
        <w:pBdr>
          <w:bottom w:val="single" w:sz="12" w:space="1" w:color="auto"/>
        </w:pBdr>
        <w:jc w:val="both"/>
        <w:rPr>
          <w:rFonts w:ascii="Century Gothic" w:hAnsi="Century Gothic"/>
        </w:rPr>
      </w:pPr>
    </w:p>
    <w:p w14:paraId="65BC5C4F" w14:textId="1688C855" w:rsidR="00F47A89" w:rsidRPr="007A524E" w:rsidRDefault="00F47A89" w:rsidP="00F47A89">
      <w:pPr>
        <w:jc w:val="both"/>
        <w:rPr>
          <w:rFonts w:ascii="Century Gothic" w:hAnsi="Century Gothic"/>
          <w:b/>
          <w:bCs/>
          <w:sz w:val="20"/>
          <w:szCs w:val="20"/>
          <w:lang w:eastAsia="fr-FR"/>
        </w:rPr>
      </w:pPr>
      <w:r w:rsidRPr="007A524E">
        <w:rPr>
          <w:rFonts w:ascii="Century Gothic" w:hAnsi="Century Gothic"/>
          <w:b/>
          <w:bCs/>
          <w:sz w:val="20"/>
          <w:szCs w:val="20"/>
          <w:lang w:eastAsia="fr-FR"/>
        </w:rPr>
        <w:t xml:space="preserve">A propos de </w:t>
      </w:r>
      <w:proofErr w:type="spellStart"/>
      <w:r w:rsidRPr="007A524E">
        <w:rPr>
          <w:rFonts w:ascii="Century Gothic" w:hAnsi="Century Gothic"/>
          <w:b/>
          <w:bCs/>
          <w:sz w:val="20"/>
          <w:szCs w:val="20"/>
          <w:lang w:eastAsia="fr-FR"/>
        </w:rPr>
        <w:t>Partech</w:t>
      </w:r>
      <w:proofErr w:type="spellEnd"/>
    </w:p>
    <w:p w14:paraId="062E35B8" w14:textId="54BC117C" w:rsidR="00F47A89" w:rsidRPr="007A524E" w:rsidRDefault="00F47A89" w:rsidP="00F47A89">
      <w:pPr>
        <w:spacing w:after="0"/>
        <w:jc w:val="both"/>
        <w:rPr>
          <w:rFonts w:ascii="Century Gothic" w:hAnsi="Century Gothic"/>
          <w:sz w:val="16"/>
          <w:szCs w:val="16"/>
          <w:lang w:eastAsia="fr-FR"/>
        </w:rPr>
      </w:pP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est une société d'investissement technologique mondiale dont le siège est à Paris et qui possède des bureaux à Berlin, Dakar, Dubaï, Nairobi et San Francisco. </w:t>
      </w: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rassemble une équipe composée de spécialistes issus de l’industrie et de la technologie ayant des convictions fortes, et apporte capital, expérience opérationnelle et soutien stratégique aux entreprises dans lesquelles il </w:t>
      </w:r>
      <w:r w:rsidR="006D1634" w:rsidRPr="007A524E">
        <w:rPr>
          <w:rFonts w:ascii="Century Gothic" w:hAnsi="Century Gothic"/>
          <w:sz w:val="16"/>
          <w:szCs w:val="16"/>
          <w:lang w:eastAsia="fr-FR"/>
        </w:rPr>
        <w:t>investit</w:t>
      </w:r>
      <w:r w:rsidRPr="007A524E">
        <w:rPr>
          <w:rFonts w:ascii="Century Gothic" w:hAnsi="Century Gothic"/>
          <w:sz w:val="16"/>
          <w:szCs w:val="16"/>
          <w:lang w:eastAsia="fr-FR"/>
        </w:rPr>
        <w:t xml:space="preserve">. </w:t>
      </w: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est née à San Francisco il y a 40 ans et la firme gère aujourd'hui 2,5 milliards d'euros d'actifs sous gestion pour un portefeuille actuel de 220 entreprises réparties dans 40 pays et sur 4 continents.</w:t>
      </w:r>
    </w:p>
    <w:p w14:paraId="35CF805A" w14:textId="77777777" w:rsidR="00F47A89" w:rsidRPr="007A524E" w:rsidRDefault="00F47A89" w:rsidP="00F47A89">
      <w:pPr>
        <w:spacing w:after="0"/>
        <w:jc w:val="both"/>
        <w:rPr>
          <w:rFonts w:ascii="Century Gothic" w:hAnsi="Century Gothic"/>
          <w:sz w:val="16"/>
          <w:szCs w:val="16"/>
          <w:lang w:eastAsia="fr-FR"/>
        </w:rPr>
      </w:pP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Impact est le fonds </w:t>
      </w:r>
      <w:proofErr w:type="spellStart"/>
      <w:r w:rsidRPr="007A524E">
        <w:rPr>
          <w:rFonts w:ascii="Century Gothic" w:hAnsi="Century Gothic"/>
          <w:sz w:val="16"/>
          <w:szCs w:val="16"/>
          <w:lang w:eastAsia="fr-FR"/>
        </w:rPr>
        <w:t>Growth</w:t>
      </w:r>
      <w:proofErr w:type="spellEnd"/>
      <w:r w:rsidRPr="007A524E">
        <w:rPr>
          <w:rFonts w:ascii="Century Gothic" w:hAnsi="Century Gothic"/>
          <w:sz w:val="16"/>
          <w:szCs w:val="16"/>
          <w:lang w:eastAsia="fr-FR"/>
        </w:rPr>
        <w:t xml:space="preserve"> Impact de </w:t>
      </w: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w:t>
      </w: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Impact investit dans des champions technologiques à Impact en Europe, qui ont déjà démontré un business-modèle éprouvé avec l’objectif d’accélérer leur croissance. </w:t>
      </w:r>
      <w:proofErr w:type="spellStart"/>
      <w:r w:rsidRPr="007A524E">
        <w:rPr>
          <w:rFonts w:ascii="Century Gothic" w:hAnsi="Century Gothic"/>
          <w:sz w:val="16"/>
          <w:szCs w:val="16"/>
          <w:lang w:eastAsia="fr-FR"/>
        </w:rPr>
        <w:t>Partech</w:t>
      </w:r>
      <w:proofErr w:type="spellEnd"/>
      <w:r w:rsidRPr="007A524E">
        <w:rPr>
          <w:rFonts w:ascii="Century Gothic" w:hAnsi="Century Gothic"/>
          <w:sz w:val="16"/>
          <w:szCs w:val="16"/>
          <w:lang w:eastAsia="fr-FR"/>
        </w:rPr>
        <w:t xml:space="preserve"> Impact investit dans des entreprises qui veulent transformer en profondeur les chaines de valeur dans lesquelles elles opèrent dans l’industrie, l’environnement, l’agriculture, la ville et la santé.</w:t>
      </w:r>
    </w:p>
    <w:p w14:paraId="747BD27C" w14:textId="77777777" w:rsidR="00F47A89" w:rsidRPr="007A524E" w:rsidRDefault="00F47A89" w:rsidP="00F47A89">
      <w:pPr>
        <w:spacing w:after="0"/>
        <w:jc w:val="both"/>
        <w:rPr>
          <w:rFonts w:ascii="Century Gothic" w:hAnsi="Century Gothic"/>
          <w:sz w:val="16"/>
          <w:szCs w:val="16"/>
        </w:rPr>
      </w:pPr>
    </w:p>
    <w:p w14:paraId="4D46DE6D" w14:textId="77777777" w:rsidR="00F47A89" w:rsidRPr="007A524E" w:rsidRDefault="00F47A89" w:rsidP="00F47A89">
      <w:pPr>
        <w:jc w:val="both"/>
        <w:rPr>
          <w:rFonts w:ascii="Century Gothic" w:hAnsi="Century Gothic"/>
          <w:b/>
          <w:bCs/>
          <w:sz w:val="20"/>
          <w:szCs w:val="20"/>
        </w:rPr>
      </w:pPr>
      <w:r w:rsidRPr="007A524E">
        <w:rPr>
          <w:rFonts w:ascii="Century Gothic" w:hAnsi="Century Gothic"/>
          <w:b/>
          <w:bCs/>
          <w:sz w:val="20"/>
          <w:szCs w:val="20"/>
        </w:rPr>
        <w:t xml:space="preserve">À propos de DEMETER et du Fonds de Modernisation Ecologique des Transports </w:t>
      </w:r>
    </w:p>
    <w:p w14:paraId="32CFCD58"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rPr>
        <w:t xml:space="preserve">DEMETER est un acteur européen majeur du capital investissement pour la transition écologique. Ses fonds investissent entre 1 et 40 millions d’euros pour accompagner les entreprises du secteur à tous les stades de leur développement : startups innovantes, PME et ETI en forte croissance et projets d’infrastructures. L’équipe Demeter compte 38 personnes basées à Paris, Lyon, Bordeaux, Grenoble, Madrid et Düsseldorf, gère 1,3 milliard d’euros et a réalisé plus de 240 investissements depuis 2005. </w:t>
      </w:r>
    </w:p>
    <w:p w14:paraId="69058953"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rPr>
        <w:t xml:space="preserve">Le Fonds de Modernisation Ecologique des Transports (FMET) est un fonds de 200 millions d’euros, dédié à l’investissement dans les infrastructures de modernisation écologique des transports, investi par Vinci Autoroutes, APRR et le groupe </w:t>
      </w:r>
      <w:proofErr w:type="spellStart"/>
      <w:r w:rsidRPr="007A524E">
        <w:rPr>
          <w:rFonts w:ascii="Century Gothic" w:hAnsi="Century Gothic"/>
          <w:sz w:val="16"/>
          <w:szCs w:val="16"/>
        </w:rPr>
        <w:t>Abertis</w:t>
      </w:r>
      <w:proofErr w:type="spellEnd"/>
      <w:r w:rsidRPr="007A524E">
        <w:rPr>
          <w:rFonts w:ascii="Century Gothic" w:hAnsi="Century Gothic"/>
          <w:sz w:val="16"/>
          <w:szCs w:val="16"/>
        </w:rPr>
        <w:t xml:space="preserve">, actionnaire de SANEF. </w:t>
      </w:r>
    </w:p>
    <w:p w14:paraId="7A1A10E3" w14:textId="47D4E19B" w:rsidR="00F47A89" w:rsidRPr="007A524E" w:rsidRDefault="00F47A89" w:rsidP="009F1DB4">
      <w:pPr>
        <w:spacing w:after="0"/>
        <w:jc w:val="both"/>
        <w:rPr>
          <w:rFonts w:ascii="Century Gothic" w:hAnsi="Century Gothic"/>
          <w:sz w:val="16"/>
          <w:szCs w:val="16"/>
        </w:rPr>
      </w:pPr>
      <w:r w:rsidRPr="007A524E">
        <w:rPr>
          <w:rFonts w:ascii="Century Gothic" w:hAnsi="Century Gothic"/>
          <w:sz w:val="16"/>
          <w:szCs w:val="16"/>
        </w:rPr>
        <w:t xml:space="preserve">Contact : </w:t>
      </w:r>
      <w:hyperlink r:id="rId19" w:history="1">
        <w:r w:rsidRPr="007A524E">
          <w:rPr>
            <w:rStyle w:val="Lienhypertexte"/>
            <w:rFonts w:ascii="Century Gothic" w:hAnsi="Century Gothic"/>
            <w:sz w:val="16"/>
            <w:szCs w:val="16"/>
          </w:rPr>
          <w:t>sophie.paturle@demeter-im.com</w:t>
        </w:r>
      </w:hyperlink>
      <w:r w:rsidRPr="007A524E">
        <w:rPr>
          <w:rFonts w:ascii="Century Gothic" w:hAnsi="Century Gothic"/>
          <w:sz w:val="16"/>
          <w:szCs w:val="16"/>
        </w:rPr>
        <w:t xml:space="preserve"> - www.demeter-im.com  </w:t>
      </w:r>
    </w:p>
    <w:p w14:paraId="425325DF" w14:textId="77777777" w:rsidR="009F1DB4" w:rsidRPr="007A524E" w:rsidRDefault="009F1DB4" w:rsidP="009F1DB4">
      <w:pPr>
        <w:spacing w:after="0"/>
        <w:jc w:val="both"/>
        <w:rPr>
          <w:rFonts w:ascii="Century Gothic" w:hAnsi="Century Gothic"/>
          <w:sz w:val="16"/>
          <w:szCs w:val="16"/>
        </w:rPr>
      </w:pPr>
    </w:p>
    <w:p w14:paraId="5506C348" w14:textId="77777777" w:rsidR="00F47A89" w:rsidRPr="007A524E" w:rsidRDefault="00F47A89" w:rsidP="00F47A89">
      <w:pPr>
        <w:jc w:val="both"/>
        <w:rPr>
          <w:rFonts w:ascii="Century Gothic" w:hAnsi="Century Gothic"/>
          <w:b/>
          <w:bCs/>
          <w:sz w:val="20"/>
          <w:szCs w:val="20"/>
        </w:rPr>
      </w:pPr>
      <w:r w:rsidRPr="007A524E">
        <w:rPr>
          <w:rFonts w:ascii="Century Gothic" w:hAnsi="Century Gothic"/>
          <w:b/>
          <w:bCs/>
          <w:sz w:val="20"/>
          <w:szCs w:val="20"/>
        </w:rPr>
        <w:t>A propos de la Banque des Territoires</w:t>
      </w:r>
    </w:p>
    <w:p w14:paraId="7F7E93DE"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rPr>
        <w:t xml:space="preserve">La Banque des Territoires est l’un des métiers de la Caisse des Dépôts. Elle réunit les expertises internes à destination des territoires. Porte d’entrée unique pour ses clients, elle œuvre aux côtés de tous les acteurs territoriaux : collectivités locales, entreprises publiques locales, organismes de logement social, professions juridiques, entreprises et acteurs financiers. Elle les accompagne dans la réalisation de leurs projets d’intérêt général en proposant un continuum de solutions : conseils, prêts, investissements en fonds propres, consignations et services bancaires. En s’adressant à tous les territoires, depuis les zones rurales jusqu’aux métropoles, la Banque des Territoires a pour ambition de maximiser son impact notamment sur les volets de la transformation écologique et de la cohésion sociale et territoriale. Les 37 implantations locales de la Banque des Territoires assurent le déploiement de son action sur l’ensemble des territoires métropolitains et ultra-marins. </w:t>
      </w:r>
    </w:p>
    <w:p w14:paraId="35FBAF60"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b/>
          <w:bCs/>
          <w:sz w:val="16"/>
          <w:szCs w:val="16"/>
        </w:rPr>
        <w:t>Agir ensemble pour développer des territoires plus verts et plus solidaires</w:t>
      </w:r>
    </w:p>
    <w:p w14:paraId="1383B5F1" w14:textId="64DCE9F1" w:rsidR="00F47A89" w:rsidRPr="007A524E" w:rsidRDefault="00F47A89" w:rsidP="00F47A89">
      <w:pPr>
        <w:spacing w:after="0"/>
        <w:jc w:val="both"/>
        <w:rPr>
          <w:rFonts w:ascii="Century Gothic" w:hAnsi="Century Gothic" w:cs="Arial"/>
          <w:b/>
          <w:bCs/>
          <w:sz w:val="16"/>
          <w:szCs w:val="16"/>
        </w:rPr>
      </w:pPr>
      <w:r w:rsidRPr="007A524E">
        <w:rPr>
          <w:rFonts w:ascii="Century Gothic" w:hAnsi="Century Gothic" w:cs="Arial"/>
          <w:b/>
          <w:noProof/>
          <w:sz w:val="16"/>
          <w:szCs w:val="16"/>
        </w:rPr>
        <w:drawing>
          <wp:inline distT="0" distB="0" distL="0" distR="0" wp14:anchorId="4ADD2BE8" wp14:editId="4826E689">
            <wp:extent cx="998220" cy="99060"/>
            <wp:effectExtent l="0" t="0" r="11430" b="15240"/>
            <wp:docPr id="1144455071" name="Image 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998220" cy="99060"/>
                    </a:xfrm>
                    <a:prstGeom prst="rect">
                      <a:avLst/>
                    </a:prstGeom>
                    <a:noFill/>
                    <a:ln>
                      <a:noFill/>
                    </a:ln>
                  </pic:spPr>
                </pic:pic>
              </a:graphicData>
            </a:graphic>
          </wp:inline>
        </w:drawing>
      </w:r>
    </w:p>
    <w:p w14:paraId="3EE79DA4" w14:textId="087561D7" w:rsidR="00F47A89" w:rsidRPr="007A524E" w:rsidRDefault="00F47A89" w:rsidP="00F47A89">
      <w:pPr>
        <w:spacing w:after="0"/>
        <w:jc w:val="both"/>
        <w:rPr>
          <w:rFonts w:ascii="Century Gothic" w:hAnsi="Century Gothic" w:cs="Arial"/>
          <w:b/>
          <w:bCs/>
          <w:sz w:val="16"/>
          <w:szCs w:val="16"/>
        </w:rPr>
      </w:pPr>
      <w:r w:rsidRPr="007A524E">
        <w:rPr>
          <w:rFonts w:ascii="Century Gothic" w:hAnsi="Century Gothic" w:cs="Arial"/>
          <w:b/>
          <w:noProof/>
          <w:sz w:val="16"/>
          <w:szCs w:val="16"/>
        </w:rPr>
        <w:drawing>
          <wp:inline distT="0" distB="0" distL="0" distR="0" wp14:anchorId="21EA4B35" wp14:editId="578E4838">
            <wp:extent cx="106680" cy="114300"/>
            <wp:effectExtent l="0" t="0" r="7620" b="0"/>
            <wp:docPr id="1088174453" name="Image 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06680" cy="114300"/>
                    </a:xfrm>
                    <a:prstGeom prst="rect">
                      <a:avLst/>
                    </a:prstGeom>
                    <a:noFill/>
                    <a:ln>
                      <a:noFill/>
                    </a:ln>
                  </pic:spPr>
                </pic:pic>
              </a:graphicData>
            </a:graphic>
          </wp:inline>
        </w:drawing>
      </w:r>
      <w:r w:rsidRPr="007A524E">
        <w:rPr>
          <w:rFonts w:ascii="Century Gothic" w:hAnsi="Century Gothic" w:cs="Arial"/>
          <w:b/>
          <w:bCs/>
          <w:sz w:val="16"/>
          <w:szCs w:val="16"/>
        </w:rPr>
        <w:t> </w:t>
      </w:r>
      <w:r w:rsidRPr="007A524E">
        <w:rPr>
          <w:rFonts w:ascii="Century Gothic" w:hAnsi="Century Gothic" w:cs="Arial"/>
          <w:b/>
          <w:noProof/>
          <w:sz w:val="16"/>
          <w:szCs w:val="16"/>
        </w:rPr>
        <w:drawing>
          <wp:inline distT="0" distB="0" distL="0" distR="0" wp14:anchorId="3454079F" wp14:editId="60ECEE81">
            <wp:extent cx="121920" cy="106680"/>
            <wp:effectExtent l="0" t="0" r="11430" b="7620"/>
            <wp:docPr id="1437801843" name="Image 2">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121920" cy="106680"/>
                    </a:xfrm>
                    <a:prstGeom prst="rect">
                      <a:avLst/>
                    </a:prstGeom>
                    <a:noFill/>
                    <a:ln>
                      <a:noFill/>
                    </a:ln>
                  </pic:spPr>
                </pic:pic>
              </a:graphicData>
            </a:graphic>
          </wp:inline>
        </w:drawing>
      </w:r>
      <w:r w:rsidRPr="007A524E">
        <w:rPr>
          <w:rFonts w:ascii="Century Gothic" w:hAnsi="Century Gothic" w:cs="Arial"/>
          <w:b/>
          <w:bCs/>
          <w:sz w:val="16"/>
          <w:szCs w:val="16"/>
        </w:rPr>
        <w:t> </w:t>
      </w:r>
      <w:r w:rsidRPr="007A524E">
        <w:rPr>
          <w:rFonts w:ascii="Century Gothic" w:hAnsi="Century Gothic" w:cs="Arial"/>
          <w:b/>
          <w:noProof/>
          <w:sz w:val="16"/>
          <w:szCs w:val="16"/>
        </w:rPr>
        <w:drawing>
          <wp:inline distT="0" distB="0" distL="0" distR="0" wp14:anchorId="16B530A9" wp14:editId="59669F20">
            <wp:extent cx="121920" cy="83820"/>
            <wp:effectExtent l="0" t="0" r="11430" b="11430"/>
            <wp:docPr id="1096967246" name="Image 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21920" cy="83820"/>
                    </a:xfrm>
                    <a:prstGeom prst="rect">
                      <a:avLst/>
                    </a:prstGeom>
                    <a:noFill/>
                    <a:ln>
                      <a:noFill/>
                    </a:ln>
                  </pic:spPr>
                </pic:pic>
              </a:graphicData>
            </a:graphic>
          </wp:inline>
        </w:drawing>
      </w:r>
      <w:r w:rsidRPr="007A524E">
        <w:rPr>
          <w:rFonts w:ascii="Century Gothic" w:hAnsi="Century Gothic" w:cs="Arial"/>
          <w:b/>
          <w:bCs/>
          <w:sz w:val="16"/>
          <w:szCs w:val="16"/>
        </w:rPr>
        <w:t> </w:t>
      </w:r>
    </w:p>
    <w:p w14:paraId="5697742B" w14:textId="77777777" w:rsidR="00F47A89" w:rsidRPr="007A524E" w:rsidRDefault="00F47A89" w:rsidP="00F47A89">
      <w:pPr>
        <w:spacing w:after="0"/>
        <w:jc w:val="both"/>
        <w:rPr>
          <w:rFonts w:ascii="Century Gothic" w:hAnsi="Century Gothic" w:cs="Arial"/>
          <w:b/>
          <w:bCs/>
          <w:sz w:val="16"/>
          <w:szCs w:val="16"/>
        </w:rPr>
      </w:pPr>
    </w:p>
    <w:p w14:paraId="5168F193" w14:textId="77777777" w:rsidR="00DE2BAA" w:rsidRPr="007A524E" w:rsidRDefault="00DE2BAA" w:rsidP="00DE2BAA">
      <w:pPr>
        <w:jc w:val="both"/>
        <w:rPr>
          <w:rFonts w:ascii="Century Gothic" w:hAnsi="Century Gothic"/>
          <w:b/>
          <w:bCs/>
          <w:sz w:val="20"/>
          <w:szCs w:val="20"/>
        </w:rPr>
      </w:pPr>
      <w:r w:rsidRPr="007A524E">
        <w:rPr>
          <w:rFonts w:ascii="Century Gothic" w:hAnsi="Century Gothic"/>
          <w:b/>
          <w:bCs/>
          <w:sz w:val="20"/>
          <w:szCs w:val="20"/>
        </w:rPr>
        <w:t>A propos d’EDF</w:t>
      </w:r>
    </w:p>
    <w:p w14:paraId="42086699" w14:textId="77777777" w:rsidR="00DE2BAA" w:rsidRPr="007A524E" w:rsidRDefault="00DE2BAA" w:rsidP="00DE2BAA">
      <w:pPr>
        <w:spacing w:after="0"/>
        <w:jc w:val="both"/>
        <w:rPr>
          <w:rFonts w:ascii="Century Gothic" w:hAnsi="Century Gothic"/>
          <w:sz w:val="16"/>
          <w:szCs w:val="16"/>
        </w:rPr>
      </w:pPr>
      <w:r w:rsidRPr="007A524E">
        <w:rPr>
          <w:rFonts w:ascii="Century Gothic" w:hAnsi="Century Gothic"/>
          <w:sz w:val="16"/>
          <w:szCs w:val="16"/>
        </w:rPr>
        <w:t>Acteur majeur de la transition énergétique, le groupe EDF est un énergéticien intégré, présent sur l’ensemble des métiers : la production, la distribution, le négoce, la vente d’énergie et les services énergétiques. Leader des énergies bas carbone dans le monde avec une production décarbonée de 434 TWh, le Groupe a développé un mix de production diversifié basé principalement sur l’énergie nucléaire et renouvelable (y compris l’hydraulique) et investit dans de nouvelles technologies pour accompagner la transition énergétique. La raison d’être d’EDF est de construire un avenir énergétique neutre en CO2 conciliant préservation de la planète, bien-être et développement, grâce à l’électricité et à des solutions et services innovants. Le Groupe fournit de l’énergie et des services à environ 40,9 millions de clients (1) et a réalisé un chiffre d’affaires de 139,7 milliards d’euros en 2023.</w:t>
      </w:r>
    </w:p>
    <w:p w14:paraId="5754DF63" w14:textId="77777777" w:rsidR="00DE2BAA" w:rsidRPr="007A524E" w:rsidRDefault="00DE2BAA" w:rsidP="00DE2BAA">
      <w:pPr>
        <w:jc w:val="both"/>
        <w:rPr>
          <w:rFonts w:ascii="Century Gothic" w:hAnsi="Century Gothic"/>
          <w:sz w:val="16"/>
          <w:szCs w:val="16"/>
        </w:rPr>
      </w:pPr>
      <w:r w:rsidRPr="007A524E">
        <w:rPr>
          <w:rFonts w:ascii="Century Gothic" w:hAnsi="Century Gothic"/>
          <w:sz w:val="16"/>
          <w:szCs w:val="16"/>
        </w:rPr>
        <w:t>(1</w:t>
      </w:r>
      <w:r w:rsidRPr="007A524E">
        <w:rPr>
          <w:rFonts w:ascii="Century Gothic" w:hAnsi="Century Gothic"/>
          <w:i/>
          <w:iCs/>
          <w:sz w:val="16"/>
          <w:szCs w:val="16"/>
        </w:rPr>
        <w:t>) Les clients sont décomptés par site de livraison ; un client peut avoir deux points de livraison.</w:t>
      </w:r>
    </w:p>
    <w:p w14:paraId="0B507C6D" w14:textId="77777777" w:rsidR="00F47A89" w:rsidRPr="007A524E" w:rsidRDefault="00F47A89" w:rsidP="00F47A89">
      <w:pPr>
        <w:jc w:val="both"/>
        <w:rPr>
          <w:rFonts w:ascii="Century Gothic" w:hAnsi="Century Gothic"/>
          <w:b/>
          <w:bCs/>
          <w:sz w:val="20"/>
          <w:szCs w:val="20"/>
        </w:rPr>
      </w:pPr>
      <w:r w:rsidRPr="007A524E">
        <w:rPr>
          <w:rFonts w:ascii="Century Gothic" w:hAnsi="Century Gothic"/>
          <w:b/>
          <w:bCs/>
          <w:sz w:val="20"/>
          <w:szCs w:val="20"/>
        </w:rPr>
        <w:t>A propos d’ENEDIS</w:t>
      </w:r>
    </w:p>
    <w:p w14:paraId="29C21D2B"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rPr>
        <w:t xml:space="preserve">Enedis est une entreprise de service public, gestionnaire du réseau de distribution d’électricité qui emploie 39 000 personnes. Au service de 37,5 millions de clients, elle développe, exploite, modernise 1,4 million de kilomètres de réseau électrique basse et moyenne tension (230 et 20 000 volts) et gère les données associées. Enedis réalise les raccordements des clients, le dépannage 24h/24, 7J/7, le relevé des compteurs et toutes les interventions techniques. Intervenant pour le compte des collectivités locales, propriétaires des réseaux, elle est indépendante des fournisseurs d’énergie qui sont chargés de la vente et de la gestion du contrat de fourniture d’électricité. </w:t>
      </w:r>
    </w:p>
    <w:p w14:paraId="16E5BD9C" w14:textId="77777777" w:rsidR="00F47A89" w:rsidRPr="007A524E" w:rsidRDefault="00F47A89" w:rsidP="00F47A89">
      <w:pPr>
        <w:spacing w:after="0"/>
        <w:jc w:val="both"/>
        <w:rPr>
          <w:rFonts w:ascii="Century Gothic" w:hAnsi="Century Gothic"/>
          <w:sz w:val="16"/>
          <w:szCs w:val="16"/>
        </w:rPr>
      </w:pPr>
    </w:p>
    <w:p w14:paraId="06A7CBFD" w14:textId="14A156AB" w:rsidR="00F47A89" w:rsidRPr="007A524E" w:rsidRDefault="00F47A89" w:rsidP="00F47A89">
      <w:pPr>
        <w:jc w:val="both"/>
        <w:rPr>
          <w:rFonts w:ascii="Century Gothic" w:hAnsi="Century Gothic"/>
          <w:b/>
          <w:bCs/>
          <w:sz w:val="20"/>
          <w:szCs w:val="20"/>
        </w:rPr>
      </w:pPr>
      <w:r w:rsidRPr="007A524E">
        <w:rPr>
          <w:rFonts w:ascii="Century Gothic" w:hAnsi="Century Gothic"/>
          <w:b/>
          <w:bCs/>
          <w:sz w:val="20"/>
          <w:szCs w:val="20"/>
        </w:rPr>
        <w:t>A propos de Gireve</w:t>
      </w:r>
    </w:p>
    <w:p w14:paraId="6E4952DE"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lang w:eastAsia="fr-FR"/>
        </w:rPr>
        <w:lastRenderedPageBreak/>
        <w:t xml:space="preserve">Gireve est la plateforme digitale leader pour l’interopérabilité de la recharge électrique. Partenaire clé des acteurs du secteur, </w:t>
      </w:r>
      <w:r w:rsidRPr="007A524E">
        <w:rPr>
          <w:rFonts w:ascii="Century Gothic" w:hAnsi="Century Gothic"/>
          <w:sz w:val="16"/>
          <w:szCs w:val="16"/>
        </w:rPr>
        <w:t xml:space="preserve">Gireve connecte les acteurs via sa plateforme digitale, pour permettre les échanges contractuels et l’itinérance de la recharge. </w:t>
      </w:r>
      <w:r w:rsidRPr="007A524E">
        <w:rPr>
          <w:rFonts w:ascii="Century Gothic" w:hAnsi="Century Gothic"/>
          <w:sz w:val="16"/>
          <w:szCs w:val="16"/>
          <w:lang w:eastAsia="fr-FR"/>
        </w:rPr>
        <w:t xml:space="preserve">Gireve facilite le clearing des opérateurs en leur proposant une gestion innovante de leurs tarifs et un contrôle automatisé de leur facturation. </w:t>
      </w:r>
      <w:r w:rsidRPr="007A524E">
        <w:rPr>
          <w:rFonts w:ascii="Century Gothic" w:hAnsi="Century Gothic"/>
          <w:sz w:val="16"/>
          <w:szCs w:val="16"/>
        </w:rPr>
        <w:t xml:space="preserve">Avec sa plateforme digitale, Gireve référence près de 500 000 points de recharge dans plus de 30 pays, opère plus de 10 000 contrats d’itinérance et gère des millions de transactions dans ses systèmes chaque année. </w:t>
      </w:r>
    </w:p>
    <w:p w14:paraId="0DFD0411" w14:textId="77777777" w:rsidR="00F47A89" w:rsidRPr="007A524E" w:rsidRDefault="00F47A89" w:rsidP="00F47A89">
      <w:pPr>
        <w:spacing w:after="0"/>
        <w:jc w:val="both"/>
        <w:rPr>
          <w:rFonts w:ascii="Century Gothic" w:hAnsi="Century Gothic"/>
          <w:sz w:val="16"/>
          <w:szCs w:val="16"/>
        </w:rPr>
      </w:pPr>
      <w:r w:rsidRPr="007A524E">
        <w:rPr>
          <w:rFonts w:ascii="Century Gothic" w:hAnsi="Century Gothic"/>
          <w:sz w:val="16"/>
          <w:szCs w:val="16"/>
        </w:rPr>
        <w:t xml:space="preserve">Gireve traite et enrichit les données sur les bornes de recharge et les comportements des conducteurs pour fournir des services d’analyses et de conseil aux </w:t>
      </w:r>
      <w:r w:rsidRPr="007A524E">
        <w:rPr>
          <w:rFonts w:ascii="Century Gothic" w:hAnsi="Century Gothic"/>
          <w:sz w:val="16"/>
          <w:szCs w:val="16"/>
          <w:lang w:eastAsia="fr-FR"/>
        </w:rPr>
        <w:t>instances gouvernementales comme aux acteurs privés</w:t>
      </w:r>
      <w:r w:rsidRPr="007A524E">
        <w:rPr>
          <w:rFonts w:ascii="Century Gothic" w:hAnsi="Century Gothic"/>
          <w:sz w:val="16"/>
          <w:szCs w:val="16"/>
        </w:rPr>
        <w:t>. Ces derniers font appel à Gireve pour obtenir un état des lieux de la recharge sur un territoire, construire une stratégie de développement sur un nouveau marché, réaliser la transition énergétique de leur entreprise, étendre leurs services ou anticiper les problématiques à venir. </w:t>
      </w:r>
    </w:p>
    <w:p w14:paraId="3E91A591" w14:textId="77777777" w:rsidR="00F47A89" w:rsidRPr="007A524E" w:rsidRDefault="00F47A89" w:rsidP="00F47A89">
      <w:pPr>
        <w:pBdr>
          <w:bottom w:val="single" w:sz="12" w:space="1" w:color="auto"/>
        </w:pBdr>
        <w:spacing w:after="0"/>
        <w:jc w:val="both"/>
        <w:rPr>
          <w:rStyle w:val="Lienhypertexte"/>
          <w:rFonts w:ascii="Century Gothic" w:hAnsi="Century Gothic"/>
          <w:sz w:val="16"/>
          <w:szCs w:val="16"/>
        </w:rPr>
      </w:pPr>
      <w:r w:rsidRPr="007A524E">
        <w:rPr>
          <w:rFonts w:ascii="Century Gothic" w:hAnsi="Century Gothic"/>
          <w:sz w:val="16"/>
          <w:szCs w:val="16"/>
        </w:rPr>
        <w:t xml:space="preserve">Pour en savoir plus : </w:t>
      </w:r>
      <w:hyperlink r:id="rId32" w:history="1">
        <w:r w:rsidRPr="007A524E">
          <w:rPr>
            <w:rStyle w:val="Lienhypertexte"/>
            <w:rFonts w:ascii="Century Gothic" w:hAnsi="Century Gothic"/>
            <w:sz w:val="16"/>
            <w:szCs w:val="16"/>
          </w:rPr>
          <w:t>www.gireve.com</w:t>
        </w:r>
      </w:hyperlink>
    </w:p>
    <w:p w14:paraId="748977A6" w14:textId="77777777" w:rsidR="00F47A89" w:rsidRPr="007A524E" w:rsidRDefault="00F47A89" w:rsidP="00F47A89">
      <w:pPr>
        <w:pBdr>
          <w:bottom w:val="single" w:sz="12" w:space="1" w:color="auto"/>
        </w:pBdr>
        <w:spacing w:after="0"/>
        <w:jc w:val="both"/>
        <w:rPr>
          <w:rStyle w:val="Lienhypertexte"/>
          <w:rFonts w:ascii="Century Gothic" w:hAnsi="Century Gothic"/>
          <w:sz w:val="20"/>
          <w:szCs w:val="20"/>
        </w:rPr>
      </w:pPr>
    </w:p>
    <w:p w14:paraId="58C0228D" w14:textId="77777777" w:rsidR="00F47A89" w:rsidRDefault="00F47A89" w:rsidP="00F47A89">
      <w:pPr>
        <w:spacing w:after="0"/>
        <w:jc w:val="both"/>
      </w:pPr>
    </w:p>
    <w:p w14:paraId="5DFA4FD1" w14:textId="77777777" w:rsidR="00F47A89" w:rsidRDefault="00F47A89" w:rsidP="00F47A89">
      <w:pPr>
        <w:jc w:val="both"/>
        <w:rPr>
          <w:rFonts w:ascii="Century Gothic" w:hAnsi="Century Gothic"/>
          <w:b/>
          <w:bCs/>
          <w:sz w:val="18"/>
          <w:szCs w:val="18"/>
        </w:rPr>
      </w:pPr>
      <w:r>
        <w:rPr>
          <w:rFonts w:ascii="Century Gothic" w:hAnsi="Century Gothic"/>
          <w:b/>
          <w:bCs/>
          <w:sz w:val="18"/>
          <w:szCs w:val="18"/>
        </w:rPr>
        <w:t xml:space="preserve">Contact presse : </w:t>
      </w:r>
    </w:p>
    <w:p w14:paraId="78EF90DB" w14:textId="63FBAE3D" w:rsidR="00C74DE8" w:rsidRPr="00A774B4" w:rsidRDefault="00F47A89" w:rsidP="007A524E">
      <w:pPr>
        <w:spacing w:after="0"/>
        <w:jc w:val="both"/>
        <w:rPr>
          <w:rFonts w:ascii="Century Gothic" w:hAnsi="Century Gothic"/>
          <w:sz w:val="16"/>
          <w:szCs w:val="16"/>
        </w:rPr>
      </w:pPr>
      <w:r>
        <w:rPr>
          <w:rFonts w:ascii="Century Gothic" w:hAnsi="Century Gothic"/>
          <w:sz w:val="16"/>
          <w:szCs w:val="16"/>
        </w:rPr>
        <w:t xml:space="preserve">Gireve - Marie Bonnefous - </w:t>
      </w:r>
      <w:hyperlink r:id="rId33" w:history="1">
        <w:r>
          <w:rPr>
            <w:rStyle w:val="Lienhypertexte"/>
            <w:rFonts w:ascii="Century Gothic" w:hAnsi="Century Gothic"/>
            <w:sz w:val="16"/>
            <w:szCs w:val="16"/>
          </w:rPr>
          <w:t>marie.bonnefous@gireve.com</w:t>
        </w:r>
      </w:hyperlink>
      <w:r>
        <w:rPr>
          <w:rFonts w:ascii="Century Gothic" w:hAnsi="Century Gothic"/>
          <w:sz w:val="16"/>
          <w:szCs w:val="16"/>
        </w:rPr>
        <w:t xml:space="preserve"> – 0033184732257</w:t>
      </w:r>
    </w:p>
    <w:sectPr w:rsidR="00C74DE8" w:rsidRPr="00A774B4">
      <w:head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1B6BA" w14:textId="77777777" w:rsidR="00CF66A4" w:rsidRDefault="00CF66A4" w:rsidP="004743F8">
      <w:pPr>
        <w:spacing w:after="0" w:line="240" w:lineRule="auto"/>
      </w:pPr>
      <w:r>
        <w:separator/>
      </w:r>
    </w:p>
  </w:endnote>
  <w:endnote w:type="continuationSeparator" w:id="0">
    <w:p w14:paraId="61E2D57E" w14:textId="77777777" w:rsidR="00CF66A4" w:rsidRDefault="00CF66A4" w:rsidP="004743F8">
      <w:pPr>
        <w:spacing w:after="0" w:line="240" w:lineRule="auto"/>
      </w:pPr>
      <w:r>
        <w:continuationSeparator/>
      </w:r>
    </w:p>
  </w:endnote>
  <w:endnote w:type="continuationNotice" w:id="1">
    <w:p w14:paraId="691AE0F4" w14:textId="77777777" w:rsidR="00CF66A4" w:rsidRDefault="00CF6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Whyte Inktrap">
    <w:panose1 w:val="020B0004050101020103"/>
    <w:charset w:val="00"/>
    <w:family w:val="swiss"/>
    <w:pitch w:val="variable"/>
    <w:sig w:usb0="A000006F" w:usb1="5001A4F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E1C32" w14:textId="77777777" w:rsidR="00CF66A4" w:rsidRDefault="00CF66A4" w:rsidP="004743F8">
      <w:pPr>
        <w:spacing w:after="0" w:line="240" w:lineRule="auto"/>
      </w:pPr>
      <w:r>
        <w:separator/>
      </w:r>
    </w:p>
  </w:footnote>
  <w:footnote w:type="continuationSeparator" w:id="0">
    <w:p w14:paraId="4379CBF6" w14:textId="77777777" w:rsidR="00CF66A4" w:rsidRDefault="00CF66A4" w:rsidP="004743F8">
      <w:pPr>
        <w:spacing w:after="0" w:line="240" w:lineRule="auto"/>
      </w:pPr>
      <w:r>
        <w:continuationSeparator/>
      </w:r>
    </w:p>
  </w:footnote>
  <w:footnote w:type="continuationNotice" w:id="1">
    <w:p w14:paraId="39CD49E8" w14:textId="77777777" w:rsidR="00CF66A4" w:rsidRDefault="00CF66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3F386" w14:textId="71019E42" w:rsidR="00083015" w:rsidRDefault="00BA2436">
    <w:pPr>
      <w:pStyle w:val="En-tte"/>
    </w:pPr>
    <w:r w:rsidRPr="000519FA">
      <w:rPr>
        <w:noProof/>
      </w:rPr>
      <w:drawing>
        <wp:anchor distT="0" distB="0" distL="114300" distR="114300" simplePos="0" relativeHeight="251658240" behindDoc="1" locked="0" layoutInCell="1" allowOverlap="1" wp14:anchorId="323A2780" wp14:editId="3ABA4E68">
          <wp:simplePos x="0" y="0"/>
          <wp:positionH relativeFrom="page">
            <wp:posOffset>-685800</wp:posOffset>
          </wp:positionH>
          <wp:positionV relativeFrom="paragraph">
            <wp:posOffset>-840105</wp:posOffset>
          </wp:positionV>
          <wp:extent cx="2276475" cy="2065598"/>
          <wp:effectExtent l="0" t="0" r="0" b="0"/>
          <wp:wrapNone/>
          <wp:docPr id="66455215" name="Image 26" descr="Une image contenant lé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6" descr="Une image contenant lég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2281613" cy="20702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003A0"/>
    <w:multiLevelType w:val="multilevel"/>
    <w:tmpl w:val="817600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A375E5"/>
    <w:multiLevelType w:val="hybridMultilevel"/>
    <w:tmpl w:val="0FE06444"/>
    <w:lvl w:ilvl="0" w:tplc="E3CA668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5B16D91"/>
    <w:multiLevelType w:val="multilevel"/>
    <w:tmpl w:val="4D90E830"/>
    <w:lvl w:ilvl="0">
      <w:start w:val="1"/>
      <w:numFmt w:val="decimal"/>
      <w:lvlText w:val="%1."/>
      <w:lvlJc w:val="left"/>
      <w:pPr>
        <w:ind w:left="567" w:hanging="567"/>
      </w:pPr>
      <w:rPr>
        <w:rFonts w:hint="default"/>
      </w:rPr>
    </w:lvl>
    <w:lvl w:ilvl="1">
      <w:start w:val="1"/>
      <w:numFmt w:val="decimal"/>
      <w:lvlText w:val="%2.1"/>
      <w:lvlJc w:val="left"/>
      <w:pPr>
        <w:ind w:left="567" w:hanging="567"/>
      </w:pPr>
      <w:rPr>
        <w:rFonts w:hint="default"/>
      </w:rPr>
    </w:lvl>
    <w:lvl w:ilvl="2">
      <w:start w:val="1"/>
      <w:numFmt w:val="decimal"/>
      <w:lvlText w:val="%3.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5034E2"/>
    <w:multiLevelType w:val="hybridMultilevel"/>
    <w:tmpl w:val="005C079C"/>
    <w:lvl w:ilvl="0" w:tplc="5F98E558">
      <w:start w:val="1"/>
      <w:numFmt w:val="bullet"/>
      <w:lvlText w:val=""/>
      <w:lvlJc w:val="left"/>
      <w:pPr>
        <w:ind w:left="720" w:hanging="360"/>
      </w:pPr>
      <w:rPr>
        <w:rFonts w:ascii="Symbol" w:hAnsi="Symbol"/>
      </w:rPr>
    </w:lvl>
    <w:lvl w:ilvl="1" w:tplc="1B0E4542">
      <w:start w:val="1"/>
      <w:numFmt w:val="bullet"/>
      <w:lvlText w:val=""/>
      <w:lvlJc w:val="left"/>
      <w:pPr>
        <w:ind w:left="720" w:hanging="360"/>
      </w:pPr>
      <w:rPr>
        <w:rFonts w:ascii="Symbol" w:hAnsi="Symbol"/>
      </w:rPr>
    </w:lvl>
    <w:lvl w:ilvl="2" w:tplc="448C1204">
      <w:start w:val="1"/>
      <w:numFmt w:val="bullet"/>
      <w:lvlText w:val=""/>
      <w:lvlJc w:val="left"/>
      <w:pPr>
        <w:ind w:left="720" w:hanging="360"/>
      </w:pPr>
      <w:rPr>
        <w:rFonts w:ascii="Symbol" w:hAnsi="Symbol"/>
      </w:rPr>
    </w:lvl>
    <w:lvl w:ilvl="3" w:tplc="9184211E">
      <w:start w:val="1"/>
      <w:numFmt w:val="bullet"/>
      <w:lvlText w:val=""/>
      <w:lvlJc w:val="left"/>
      <w:pPr>
        <w:ind w:left="720" w:hanging="360"/>
      </w:pPr>
      <w:rPr>
        <w:rFonts w:ascii="Symbol" w:hAnsi="Symbol"/>
      </w:rPr>
    </w:lvl>
    <w:lvl w:ilvl="4" w:tplc="C748C948">
      <w:start w:val="1"/>
      <w:numFmt w:val="bullet"/>
      <w:lvlText w:val=""/>
      <w:lvlJc w:val="left"/>
      <w:pPr>
        <w:ind w:left="720" w:hanging="360"/>
      </w:pPr>
      <w:rPr>
        <w:rFonts w:ascii="Symbol" w:hAnsi="Symbol"/>
      </w:rPr>
    </w:lvl>
    <w:lvl w:ilvl="5" w:tplc="7B841A26">
      <w:start w:val="1"/>
      <w:numFmt w:val="bullet"/>
      <w:lvlText w:val=""/>
      <w:lvlJc w:val="left"/>
      <w:pPr>
        <w:ind w:left="720" w:hanging="360"/>
      </w:pPr>
      <w:rPr>
        <w:rFonts w:ascii="Symbol" w:hAnsi="Symbol"/>
      </w:rPr>
    </w:lvl>
    <w:lvl w:ilvl="6" w:tplc="9E6073E2">
      <w:start w:val="1"/>
      <w:numFmt w:val="bullet"/>
      <w:lvlText w:val=""/>
      <w:lvlJc w:val="left"/>
      <w:pPr>
        <w:ind w:left="720" w:hanging="360"/>
      </w:pPr>
      <w:rPr>
        <w:rFonts w:ascii="Symbol" w:hAnsi="Symbol"/>
      </w:rPr>
    </w:lvl>
    <w:lvl w:ilvl="7" w:tplc="39F263C4">
      <w:start w:val="1"/>
      <w:numFmt w:val="bullet"/>
      <w:lvlText w:val=""/>
      <w:lvlJc w:val="left"/>
      <w:pPr>
        <w:ind w:left="720" w:hanging="360"/>
      </w:pPr>
      <w:rPr>
        <w:rFonts w:ascii="Symbol" w:hAnsi="Symbol"/>
      </w:rPr>
    </w:lvl>
    <w:lvl w:ilvl="8" w:tplc="D1CE455E">
      <w:start w:val="1"/>
      <w:numFmt w:val="bullet"/>
      <w:lvlText w:val=""/>
      <w:lvlJc w:val="left"/>
      <w:pPr>
        <w:ind w:left="720" w:hanging="360"/>
      </w:pPr>
      <w:rPr>
        <w:rFonts w:ascii="Symbol" w:hAnsi="Symbol"/>
      </w:rPr>
    </w:lvl>
  </w:abstractNum>
  <w:abstractNum w:abstractNumId="4" w15:restartNumberingAfterBreak="0">
    <w:nsid w:val="644D1C84"/>
    <w:multiLevelType w:val="hybridMultilevel"/>
    <w:tmpl w:val="403CB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6379445">
    <w:abstractNumId w:val="2"/>
  </w:num>
  <w:num w:numId="2" w16cid:durableId="271058061">
    <w:abstractNumId w:val="0"/>
  </w:num>
  <w:num w:numId="3" w16cid:durableId="18745239">
    <w:abstractNumId w:val="4"/>
  </w:num>
  <w:num w:numId="4" w16cid:durableId="1436441354">
    <w:abstractNumId w:val="3"/>
  </w:num>
  <w:num w:numId="5" w16cid:durableId="86155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B0"/>
    <w:rsid w:val="00012D83"/>
    <w:rsid w:val="00013281"/>
    <w:rsid w:val="00016D75"/>
    <w:rsid w:val="00021A2F"/>
    <w:rsid w:val="00024506"/>
    <w:rsid w:val="00026838"/>
    <w:rsid w:val="000275DA"/>
    <w:rsid w:val="00027B9E"/>
    <w:rsid w:val="000325BD"/>
    <w:rsid w:val="000404A5"/>
    <w:rsid w:val="00040993"/>
    <w:rsid w:val="000420B0"/>
    <w:rsid w:val="00043C70"/>
    <w:rsid w:val="000469F5"/>
    <w:rsid w:val="00063838"/>
    <w:rsid w:val="00066069"/>
    <w:rsid w:val="00083015"/>
    <w:rsid w:val="00087B37"/>
    <w:rsid w:val="0009116B"/>
    <w:rsid w:val="0009415F"/>
    <w:rsid w:val="00096495"/>
    <w:rsid w:val="00097A1B"/>
    <w:rsid w:val="000A0942"/>
    <w:rsid w:val="000A6872"/>
    <w:rsid w:val="000B12F2"/>
    <w:rsid w:val="000C5295"/>
    <w:rsid w:val="000D3BE7"/>
    <w:rsid w:val="000D5622"/>
    <w:rsid w:val="000D574D"/>
    <w:rsid w:val="000D60EB"/>
    <w:rsid w:val="000D68DB"/>
    <w:rsid w:val="000F044F"/>
    <w:rsid w:val="000F2B8E"/>
    <w:rsid w:val="000F7D50"/>
    <w:rsid w:val="0010147C"/>
    <w:rsid w:val="0011004B"/>
    <w:rsid w:val="001260B5"/>
    <w:rsid w:val="00140A93"/>
    <w:rsid w:val="00140B19"/>
    <w:rsid w:val="001426E8"/>
    <w:rsid w:val="001448FC"/>
    <w:rsid w:val="0014504A"/>
    <w:rsid w:val="00155947"/>
    <w:rsid w:val="00167928"/>
    <w:rsid w:val="001736FC"/>
    <w:rsid w:val="00180A7E"/>
    <w:rsid w:val="001A6CDC"/>
    <w:rsid w:val="001B2D41"/>
    <w:rsid w:val="001C068A"/>
    <w:rsid w:val="001D298A"/>
    <w:rsid w:val="001D4CC2"/>
    <w:rsid w:val="001E11B8"/>
    <w:rsid w:val="00210FD8"/>
    <w:rsid w:val="00223BB8"/>
    <w:rsid w:val="00227017"/>
    <w:rsid w:val="0023390C"/>
    <w:rsid w:val="0023506F"/>
    <w:rsid w:val="002369B0"/>
    <w:rsid w:val="00240A98"/>
    <w:rsid w:val="00253861"/>
    <w:rsid w:val="0025479E"/>
    <w:rsid w:val="00257015"/>
    <w:rsid w:val="00257548"/>
    <w:rsid w:val="00257679"/>
    <w:rsid w:val="002617BE"/>
    <w:rsid w:val="0027504E"/>
    <w:rsid w:val="00282709"/>
    <w:rsid w:val="002909FD"/>
    <w:rsid w:val="00296D34"/>
    <w:rsid w:val="002B7E60"/>
    <w:rsid w:val="002C02B8"/>
    <w:rsid w:val="002C6A3B"/>
    <w:rsid w:val="002C6EAC"/>
    <w:rsid w:val="002D5248"/>
    <w:rsid w:val="002D54BB"/>
    <w:rsid w:val="002D6C37"/>
    <w:rsid w:val="002E0D1C"/>
    <w:rsid w:val="002E45C1"/>
    <w:rsid w:val="002F1BB4"/>
    <w:rsid w:val="00322DF6"/>
    <w:rsid w:val="003332F8"/>
    <w:rsid w:val="00334317"/>
    <w:rsid w:val="00342AA5"/>
    <w:rsid w:val="00354D4C"/>
    <w:rsid w:val="00357565"/>
    <w:rsid w:val="00374CBB"/>
    <w:rsid w:val="00384339"/>
    <w:rsid w:val="003879C8"/>
    <w:rsid w:val="003923F1"/>
    <w:rsid w:val="00394A27"/>
    <w:rsid w:val="00394C94"/>
    <w:rsid w:val="003A177E"/>
    <w:rsid w:val="003A2C7B"/>
    <w:rsid w:val="003C00A3"/>
    <w:rsid w:val="003C0BC3"/>
    <w:rsid w:val="003E4CD5"/>
    <w:rsid w:val="004051D7"/>
    <w:rsid w:val="00405D91"/>
    <w:rsid w:val="004163F6"/>
    <w:rsid w:val="0042111B"/>
    <w:rsid w:val="00426617"/>
    <w:rsid w:val="00440815"/>
    <w:rsid w:val="00444D88"/>
    <w:rsid w:val="004537BC"/>
    <w:rsid w:val="004627D8"/>
    <w:rsid w:val="00466D16"/>
    <w:rsid w:val="004709FE"/>
    <w:rsid w:val="00472679"/>
    <w:rsid w:val="004743F8"/>
    <w:rsid w:val="00481689"/>
    <w:rsid w:val="004925E0"/>
    <w:rsid w:val="00494112"/>
    <w:rsid w:val="0049424C"/>
    <w:rsid w:val="00494619"/>
    <w:rsid w:val="004A0D29"/>
    <w:rsid w:val="004A1495"/>
    <w:rsid w:val="004A47A7"/>
    <w:rsid w:val="004A5BDA"/>
    <w:rsid w:val="004A6D64"/>
    <w:rsid w:val="004A7A4D"/>
    <w:rsid w:val="004B17FD"/>
    <w:rsid w:val="004C2E0E"/>
    <w:rsid w:val="004C427D"/>
    <w:rsid w:val="004C76C0"/>
    <w:rsid w:val="004D249C"/>
    <w:rsid w:val="004D312F"/>
    <w:rsid w:val="004D31CB"/>
    <w:rsid w:val="004D3A19"/>
    <w:rsid w:val="004D3A67"/>
    <w:rsid w:val="004D72E2"/>
    <w:rsid w:val="004E4211"/>
    <w:rsid w:val="004F2667"/>
    <w:rsid w:val="004F35AA"/>
    <w:rsid w:val="004F4173"/>
    <w:rsid w:val="00502199"/>
    <w:rsid w:val="00512C64"/>
    <w:rsid w:val="00532EB6"/>
    <w:rsid w:val="00542D78"/>
    <w:rsid w:val="00543188"/>
    <w:rsid w:val="005447DB"/>
    <w:rsid w:val="00550711"/>
    <w:rsid w:val="00557761"/>
    <w:rsid w:val="00562267"/>
    <w:rsid w:val="00575921"/>
    <w:rsid w:val="00584A68"/>
    <w:rsid w:val="00585DC5"/>
    <w:rsid w:val="00590B34"/>
    <w:rsid w:val="00594DF7"/>
    <w:rsid w:val="00595026"/>
    <w:rsid w:val="00597EF5"/>
    <w:rsid w:val="005A355D"/>
    <w:rsid w:val="005B42C9"/>
    <w:rsid w:val="005B4ECB"/>
    <w:rsid w:val="005D2F9D"/>
    <w:rsid w:val="005F2638"/>
    <w:rsid w:val="005F3538"/>
    <w:rsid w:val="00606B14"/>
    <w:rsid w:val="00607180"/>
    <w:rsid w:val="00613E74"/>
    <w:rsid w:val="006259B0"/>
    <w:rsid w:val="006268BB"/>
    <w:rsid w:val="00626A11"/>
    <w:rsid w:val="00635369"/>
    <w:rsid w:val="00640D5B"/>
    <w:rsid w:val="00643B2B"/>
    <w:rsid w:val="006541E0"/>
    <w:rsid w:val="0066358B"/>
    <w:rsid w:val="00663C71"/>
    <w:rsid w:val="006907C4"/>
    <w:rsid w:val="006928EA"/>
    <w:rsid w:val="006964CA"/>
    <w:rsid w:val="006A1A74"/>
    <w:rsid w:val="006A382D"/>
    <w:rsid w:val="006A6301"/>
    <w:rsid w:val="006A73EE"/>
    <w:rsid w:val="006B0435"/>
    <w:rsid w:val="006D1634"/>
    <w:rsid w:val="006E42A6"/>
    <w:rsid w:val="006F10D9"/>
    <w:rsid w:val="006F3631"/>
    <w:rsid w:val="006F4243"/>
    <w:rsid w:val="00702604"/>
    <w:rsid w:val="00705C90"/>
    <w:rsid w:val="007078B7"/>
    <w:rsid w:val="007078FC"/>
    <w:rsid w:val="00712D05"/>
    <w:rsid w:val="00715FF3"/>
    <w:rsid w:val="00740199"/>
    <w:rsid w:val="00771366"/>
    <w:rsid w:val="00786256"/>
    <w:rsid w:val="007864C8"/>
    <w:rsid w:val="00797958"/>
    <w:rsid w:val="007A524E"/>
    <w:rsid w:val="007B1447"/>
    <w:rsid w:val="007C0EF8"/>
    <w:rsid w:val="007C44D7"/>
    <w:rsid w:val="007D68BA"/>
    <w:rsid w:val="007E0472"/>
    <w:rsid w:val="007F270C"/>
    <w:rsid w:val="007F7254"/>
    <w:rsid w:val="00802193"/>
    <w:rsid w:val="00815597"/>
    <w:rsid w:val="00820276"/>
    <w:rsid w:val="0082145A"/>
    <w:rsid w:val="00836F66"/>
    <w:rsid w:val="00840BCD"/>
    <w:rsid w:val="00842AC1"/>
    <w:rsid w:val="00842D6D"/>
    <w:rsid w:val="00843C65"/>
    <w:rsid w:val="00856F5F"/>
    <w:rsid w:val="00864C73"/>
    <w:rsid w:val="008874A4"/>
    <w:rsid w:val="00887DFC"/>
    <w:rsid w:val="00896762"/>
    <w:rsid w:val="00896CD4"/>
    <w:rsid w:val="008A4CC3"/>
    <w:rsid w:val="008A7DE2"/>
    <w:rsid w:val="008B11B7"/>
    <w:rsid w:val="008C21A9"/>
    <w:rsid w:val="008D212A"/>
    <w:rsid w:val="008D6B27"/>
    <w:rsid w:val="008E4B04"/>
    <w:rsid w:val="008F597A"/>
    <w:rsid w:val="00913472"/>
    <w:rsid w:val="0091467A"/>
    <w:rsid w:val="009223D2"/>
    <w:rsid w:val="0092566F"/>
    <w:rsid w:val="009257D4"/>
    <w:rsid w:val="00965733"/>
    <w:rsid w:val="00966288"/>
    <w:rsid w:val="0097167F"/>
    <w:rsid w:val="00974359"/>
    <w:rsid w:val="009801FE"/>
    <w:rsid w:val="00986354"/>
    <w:rsid w:val="00994B86"/>
    <w:rsid w:val="009A5EB4"/>
    <w:rsid w:val="009B3D34"/>
    <w:rsid w:val="009B4007"/>
    <w:rsid w:val="009B5671"/>
    <w:rsid w:val="009B6EF6"/>
    <w:rsid w:val="009B77E0"/>
    <w:rsid w:val="009C2C70"/>
    <w:rsid w:val="009C360D"/>
    <w:rsid w:val="009F0AFC"/>
    <w:rsid w:val="009F1DB4"/>
    <w:rsid w:val="009F3E87"/>
    <w:rsid w:val="00A16F12"/>
    <w:rsid w:val="00A26C77"/>
    <w:rsid w:val="00A27F9C"/>
    <w:rsid w:val="00A34CB1"/>
    <w:rsid w:val="00A5664C"/>
    <w:rsid w:val="00A774B4"/>
    <w:rsid w:val="00AA7CAB"/>
    <w:rsid w:val="00AC552D"/>
    <w:rsid w:val="00AC74D3"/>
    <w:rsid w:val="00AD164E"/>
    <w:rsid w:val="00AD1FB8"/>
    <w:rsid w:val="00AD4115"/>
    <w:rsid w:val="00AE6968"/>
    <w:rsid w:val="00AE6B06"/>
    <w:rsid w:val="00AE7A8B"/>
    <w:rsid w:val="00AF796B"/>
    <w:rsid w:val="00B0068A"/>
    <w:rsid w:val="00B0514D"/>
    <w:rsid w:val="00B11088"/>
    <w:rsid w:val="00B15162"/>
    <w:rsid w:val="00B15C6A"/>
    <w:rsid w:val="00B34257"/>
    <w:rsid w:val="00B36328"/>
    <w:rsid w:val="00B37A02"/>
    <w:rsid w:val="00B37E61"/>
    <w:rsid w:val="00B4709C"/>
    <w:rsid w:val="00B717F3"/>
    <w:rsid w:val="00B72EB0"/>
    <w:rsid w:val="00B829D3"/>
    <w:rsid w:val="00B82C9A"/>
    <w:rsid w:val="00B85027"/>
    <w:rsid w:val="00B901D6"/>
    <w:rsid w:val="00B90AB4"/>
    <w:rsid w:val="00B91DFC"/>
    <w:rsid w:val="00BA2436"/>
    <w:rsid w:val="00BA5D1D"/>
    <w:rsid w:val="00BC2744"/>
    <w:rsid w:val="00BC28B7"/>
    <w:rsid w:val="00BC4453"/>
    <w:rsid w:val="00BD0A3A"/>
    <w:rsid w:val="00BD0D0B"/>
    <w:rsid w:val="00BD4E4B"/>
    <w:rsid w:val="00BD5840"/>
    <w:rsid w:val="00BE2C0B"/>
    <w:rsid w:val="00C13947"/>
    <w:rsid w:val="00C216E2"/>
    <w:rsid w:val="00C30BF6"/>
    <w:rsid w:val="00C3464B"/>
    <w:rsid w:val="00C34AED"/>
    <w:rsid w:val="00C36E03"/>
    <w:rsid w:val="00C46079"/>
    <w:rsid w:val="00C46D17"/>
    <w:rsid w:val="00C60AD1"/>
    <w:rsid w:val="00C6304C"/>
    <w:rsid w:val="00C74DE8"/>
    <w:rsid w:val="00C75E8C"/>
    <w:rsid w:val="00C83BC2"/>
    <w:rsid w:val="00C86C5D"/>
    <w:rsid w:val="00C91855"/>
    <w:rsid w:val="00C97404"/>
    <w:rsid w:val="00CA4F1B"/>
    <w:rsid w:val="00CB03F6"/>
    <w:rsid w:val="00CB4EDC"/>
    <w:rsid w:val="00CB71C5"/>
    <w:rsid w:val="00CC1487"/>
    <w:rsid w:val="00CC7E2A"/>
    <w:rsid w:val="00CD16F0"/>
    <w:rsid w:val="00CD4236"/>
    <w:rsid w:val="00CF248A"/>
    <w:rsid w:val="00CF66A4"/>
    <w:rsid w:val="00D2218B"/>
    <w:rsid w:val="00D30E49"/>
    <w:rsid w:val="00D332ED"/>
    <w:rsid w:val="00D4484B"/>
    <w:rsid w:val="00D448E8"/>
    <w:rsid w:val="00D44942"/>
    <w:rsid w:val="00D51ACE"/>
    <w:rsid w:val="00D54D4F"/>
    <w:rsid w:val="00D64976"/>
    <w:rsid w:val="00D805F9"/>
    <w:rsid w:val="00D818ED"/>
    <w:rsid w:val="00D84104"/>
    <w:rsid w:val="00D86663"/>
    <w:rsid w:val="00D91C9B"/>
    <w:rsid w:val="00D924C6"/>
    <w:rsid w:val="00D947D3"/>
    <w:rsid w:val="00DA1156"/>
    <w:rsid w:val="00DA333D"/>
    <w:rsid w:val="00DB1489"/>
    <w:rsid w:val="00DB4F4C"/>
    <w:rsid w:val="00DD3AC1"/>
    <w:rsid w:val="00DE2BAA"/>
    <w:rsid w:val="00DE4D92"/>
    <w:rsid w:val="00DF0691"/>
    <w:rsid w:val="00DF6879"/>
    <w:rsid w:val="00E00862"/>
    <w:rsid w:val="00E01E31"/>
    <w:rsid w:val="00E32EE8"/>
    <w:rsid w:val="00E52A83"/>
    <w:rsid w:val="00E65D71"/>
    <w:rsid w:val="00E73301"/>
    <w:rsid w:val="00E74929"/>
    <w:rsid w:val="00E75D40"/>
    <w:rsid w:val="00E822D0"/>
    <w:rsid w:val="00E95434"/>
    <w:rsid w:val="00E9571F"/>
    <w:rsid w:val="00EA784C"/>
    <w:rsid w:val="00EB4537"/>
    <w:rsid w:val="00EC3414"/>
    <w:rsid w:val="00ED0DF8"/>
    <w:rsid w:val="00ED6E56"/>
    <w:rsid w:val="00EE2085"/>
    <w:rsid w:val="00EF4805"/>
    <w:rsid w:val="00F11494"/>
    <w:rsid w:val="00F20B6F"/>
    <w:rsid w:val="00F219C9"/>
    <w:rsid w:val="00F26B55"/>
    <w:rsid w:val="00F3725A"/>
    <w:rsid w:val="00F43328"/>
    <w:rsid w:val="00F47A89"/>
    <w:rsid w:val="00F509B3"/>
    <w:rsid w:val="00F57CBA"/>
    <w:rsid w:val="00F64947"/>
    <w:rsid w:val="00F71C39"/>
    <w:rsid w:val="00F73D5B"/>
    <w:rsid w:val="00F74BF4"/>
    <w:rsid w:val="00F83E31"/>
    <w:rsid w:val="00F95898"/>
    <w:rsid w:val="00FB17DF"/>
    <w:rsid w:val="00FC2FDD"/>
    <w:rsid w:val="00FC3BD1"/>
    <w:rsid w:val="00FC4BBE"/>
    <w:rsid w:val="00FC4C9E"/>
    <w:rsid w:val="00FD5A0F"/>
    <w:rsid w:val="00FD63FA"/>
    <w:rsid w:val="00FE01C3"/>
    <w:rsid w:val="00FE35CF"/>
    <w:rsid w:val="00FE6E3B"/>
    <w:rsid w:val="00FF5E5F"/>
    <w:rsid w:val="05B2DBC5"/>
    <w:rsid w:val="05DE5990"/>
    <w:rsid w:val="0A2324E4"/>
    <w:rsid w:val="0F2BF9E9"/>
    <w:rsid w:val="10BB38D1"/>
    <w:rsid w:val="136C6F8A"/>
    <w:rsid w:val="13D7A5BA"/>
    <w:rsid w:val="14C8DB02"/>
    <w:rsid w:val="14D75681"/>
    <w:rsid w:val="19F11168"/>
    <w:rsid w:val="1B8D27C5"/>
    <w:rsid w:val="1C318CEE"/>
    <w:rsid w:val="1C37DC6C"/>
    <w:rsid w:val="21E64CCC"/>
    <w:rsid w:val="25245294"/>
    <w:rsid w:val="29278F37"/>
    <w:rsid w:val="2B7940EB"/>
    <w:rsid w:val="30ED5917"/>
    <w:rsid w:val="312D8CC4"/>
    <w:rsid w:val="342E03F6"/>
    <w:rsid w:val="350FB4B4"/>
    <w:rsid w:val="353BFEDE"/>
    <w:rsid w:val="3590303D"/>
    <w:rsid w:val="361A37F5"/>
    <w:rsid w:val="37D3E39E"/>
    <w:rsid w:val="3C52FEBC"/>
    <w:rsid w:val="3E1272F4"/>
    <w:rsid w:val="404238E3"/>
    <w:rsid w:val="4332BE04"/>
    <w:rsid w:val="43BC9891"/>
    <w:rsid w:val="44F50DBD"/>
    <w:rsid w:val="4D9AC115"/>
    <w:rsid w:val="4E2537CD"/>
    <w:rsid w:val="4EF05F2A"/>
    <w:rsid w:val="4F64DABE"/>
    <w:rsid w:val="52E047AB"/>
    <w:rsid w:val="5BB40A64"/>
    <w:rsid w:val="6394029B"/>
    <w:rsid w:val="63FBFEA6"/>
    <w:rsid w:val="66614068"/>
    <w:rsid w:val="68B84B24"/>
    <w:rsid w:val="6AC44451"/>
    <w:rsid w:val="6C4530FE"/>
    <w:rsid w:val="6CE603C6"/>
    <w:rsid w:val="6ED154AB"/>
    <w:rsid w:val="711AB755"/>
    <w:rsid w:val="71609EF5"/>
    <w:rsid w:val="76271548"/>
    <w:rsid w:val="7F1162A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BF743"/>
  <w15:chartTrackingRefBased/>
  <w15:docId w15:val="{F6C6F8DA-522F-44E8-AD56-556FC2D4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259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6259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Titre"/>
    <w:next w:val="Normal"/>
    <w:link w:val="Titre3Car"/>
    <w:autoRedefine/>
    <w:uiPriority w:val="1"/>
    <w:unhideWhenUsed/>
    <w:qFormat/>
    <w:rsid w:val="000A6872"/>
    <w:pPr>
      <w:keepNext/>
      <w:keepLines/>
      <w:numPr>
        <w:ilvl w:val="2"/>
        <w:numId w:val="2"/>
      </w:numPr>
      <w:pBdr>
        <w:bottom w:val="single" w:sz="4" w:space="1" w:color="2C487B"/>
      </w:pBdr>
      <w:spacing w:before="120"/>
      <w:ind w:left="567" w:hanging="567"/>
      <w:jc w:val="both"/>
      <w:outlineLvl w:val="2"/>
    </w:pPr>
    <w:rPr>
      <w:rFonts w:ascii="Whyte Inktrap" w:eastAsia="Times New Roman" w:hAnsi="Whyte Inktrap" w:cstheme="minorBidi"/>
      <w:color w:val="5A5AFA"/>
      <w:sz w:val="24"/>
      <w:szCs w:val="24"/>
    </w:rPr>
  </w:style>
  <w:style w:type="paragraph" w:styleId="Titre4">
    <w:name w:val="heading 4"/>
    <w:basedOn w:val="Normal"/>
    <w:next w:val="Normal"/>
    <w:link w:val="Titre4Car"/>
    <w:uiPriority w:val="9"/>
    <w:unhideWhenUsed/>
    <w:qFormat/>
    <w:rsid w:val="006259B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259B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259B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259B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259B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259B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3">
    <w:name w:val="Style3"/>
    <w:basedOn w:val="TableauNormal"/>
    <w:uiPriority w:val="99"/>
    <w:rsid w:val="00440815"/>
    <w:pPr>
      <w:spacing w:after="0" w:line="240" w:lineRule="auto"/>
    </w:pPr>
    <w:tblPr>
      <w:tblBorders>
        <w:top w:val="single" w:sz="4" w:space="0" w:color="0A0F5A"/>
        <w:bottom w:val="single" w:sz="4" w:space="0" w:color="0A0F5A"/>
        <w:insideH w:val="single" w:sz="4" w:space="0" w:color="0A0F5A"/>
      </w:tblBorders>
    </w:tblPr>
    <w:tcPr>
      <w:shd w:val="clear" w:color="auto" w:fill="auto"/>
    </w:tcPr>
    <w:tblStylePr w:type="firstRow">
      <w:rPr>
        <w:rFonts w:ascii="Whyte Inktrap" w:hAnsi="Whyte Inktrap"/>
        <w:b/>
      </w:rPr>
      <w:tblPr/>
      <w:tcPr>
        <w:shd w:val="clear" w:color="auto" w:fill="0A0F5A"/>
      </w:tcPr>
    </w:tblStylePr>
  </w:style>
  <w:style w:type="character" w:customStyle="1" w:styleId="Titre3Car">
    <w:name w:val="Titre 3 Car"/>
    <w:link w:val="Titre3"/>
    <w:uiPriority w:val="1"/>
    <w:rsid w:val="000A6872"/>
    <w:rPr>
      <w:rFonts w:ascii="Whyte Inktrap" w:eastAsia="Times New Roman" w:hAnsi="Whyte Inktrap"/>
      <w:color w:val="5A5AFA"/>
      <w:spacing w:val="-10"/>
      <w:kern w:val="28"/>
      <w:sz w:val="24"/>
      <w:szCs w:val="24"/>
    </w:rPr>
  </w:style>
  <w:style w:type="paragraph" w:styleId="Titre">
    <w:name w:val="Title"/>
    <w:basedOn w:val="Normal"/>
    <w:next w:val="Normal"/>
    <w:link w:val="TitreCar"/>
    <w:uiPriority w:val="10"/>
    <w:qFormat/>
    <w:rsid w:val="000A68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6872"/>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6259B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6259B0"/>
    <w:rPr>
      <w:rFonts w:asciiTheme="majorHAnsi" w:eastAsiaTheme="majorEastAsia" w:hAnsiTheme="majorHAnsi" w:cstheme="majorBidi"/>
      <w:color w:val="2F5496" w:themeColor="accent1" w:themeShade="BF"/>
      <w:sz w:val="32"/>
      <w:szCs w:val="32"/>
    </w:rPr>
  </w:style>
  <w:style w:type="character" w:customStyle="1" w:styleId="Titre4Car">
    <w:name w:val="Titre 4 Car"/>
    <w:basedOn w:val="Policepardfaut"/>
    <w:link w:val="Titre4"/>
    <w:uiPriority w:val="9"/>
    <w:rsid w:val="006259B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259B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259B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259B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259B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259B0"/>
    <w:rPr>
      <w:rFonts w:eastAsiaTheme="majorEastAsia" w:cstheme="majorBidi"/>
      <w:color w:val="272727" w:themeColor="text1" w:themeTint="D8"/>
    </w:rPr>
  </w:style>
  <w:style w:type="paragraph" w:styleId="Sous-titre">
    <w:name w:val="Subtitle"/>
    <w:basedOn w:val="Normal"/>
    <w:next w:val="Normal"/>
    <w:link w:val="Sous-titreCar"/>
    <w:uiPriority w:val="11"/>
    <w:qFormat/>
    <w:rsid w:val="006259B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259B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259B0"/>
    <w:pPr>
      <w:spacing w:before="160"/>
      <w:jc w:val="center"/>
    </w:pPr>
    <w:rPr>
      <w:i/>
      <w:iCs/>
      <w:color w:val="404040" w:themeColor="text1" w:themeTint="BF"/>
    </w:rPr>
  </w:style>
  <w:style w:type="character" w:customStyle="1" w:styleId="CitationCar">
    <w:name w:val="Citation Car"/>
    <w:basedOn w:val="Policepardfaut"/>
    <w:link w:val="Citation"/>
    <w:uiPriority w:val="29"/>
    <w:rsid w:val="006259B0"/>
    <w:rPr>
      <w:i/>
      <w:iCs/>
      <w:color w:val="404040" w:themeColor="text1" w:themeTint="BF"/>
    </w:rPr>
  </w:style>
  <w:style w:type="paragraph" w:styleId="Paragraphedeliste">
    <w:name w:val="List Paragraph"/>
    <w:basedOn w:val="Normal"/>
    <w:uiPriority w:val="34"/>
    <w:qFormat/>
    <w:rsid w:val="006259B0"/>
    <w:pPr>
      <w:ind w:left="720"/>
      <w:contextualSpacing/>
    </w:pPr>
  </w:style>
  <w:style w:type="character" w:styleId="Accentuationintense">
    <w:name w:val="Intense Emphasis"/>
    <w:basedOn w:val="Policepardfaut"/>
    <w:uiPriority w:val="21"/>
    <w:qFormat/>
    <w:rsid w:val="006259B0"/>
    <w:rPr>
      <w:i/>
      <w:iCs/>
      <w:color w:val="2F5496" w:themeColor="accent1" w:themeShade="BF"/>
    </w:rPr>
  </w:style>
  <w:style w:type="paragraph" w:styleId="Citationintense">
    <w:name w:val="Intense Quote"/>
    <w:basedOn w:val="Normal"/>
    <w:next w:val="Normal"/>
    <w:link w:val="CitationintenseCar"/>
    <w:uiPriority w:val="30"/>
    <w:qFormat/>
    <w:rsid w:val="006259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259B0"/>
    <w:rPr>
      <w:i/>
      <w:iCs/>
      <w:color w:val="2F5496" w:themeColor="accent1" w:themeShade="BF"/>
    </w:rPr>
  </w:style>
  <w:style w:type="character" w:styleId="Rfrenceintense">
    <w:name w:val="Intense Reference"/>
    <w:basedOn w:val="Policepardfaut"/>
    <w:uiPriority w:val="32"/>
    <w:qFormat/>
    <w:rsid w:val="006259B0"/>
    <w:rPr>
      <w:b/>
      <w:bCs/>
      <w:smallCaps/>
      <w:color w:val="2F5496" w:themeColor="accent1" w:themeShade="BF"/>
      <w:spacing w:val="5"/>
    </w:rPr>
  </w:style>
  <w:style w:type="character" w:styleId="Lienhypertexte">
    <w:name w:val="Hyperlink"/>
    <w:basedOn w:val="Policepardfaut"/>
    <w:uiPriority w:val="99"/>
    <w:unhideWhenUsed/>
    <w:rsid w:val="006259B0"/>
    <w:rPr>
      <w:color w:val="0000FF"/>
      <w:u w:val="single"/>
    </w:rPr>
  </w:style>
  <w:style w:type="paragraph" w:styleId="En-tte">
    <w:name w:val="header"/>
    <w:basedOn w:val="Normal"/>
    <w:link w:val="En-tteCar"/>
    <w:uiPriority w:val="99"/>
    <w:unhideWhenUsed/>
    <w:rsid w:val="004743F8"/>
    <w:pPr>
      <w:tabs>
        <w:tab w:val="center" w:pos="4536"/>
        <w:tab w:val="right" w:pos="9072"/>
      </w:tabs>
      <w:spacing w:after="0" w:line="240" w:lineRule="auto"/>
    </w:pPr>
  </w:style>
  <w:style w:type="character" w:customStyle="1" w:styleId="En-tteCar">
    <w:name w:val="En-tête Car"/>
    <w:basedOn w:val="Policepardfaut"/>
    <w:link w:val="En-tte"/>
    <w:uiPriority w:val="99"/>
    <w:rsid w:val="004743F8"/>
  </w:style>
  <w:style w:type="paragraph" w:styleId="Pieddepage">
    <w:name w:val="footer"/>
    <w:basedOn w:val="Normal"/>
    <w:link w:val="PieddepageCar"/>
    <w:uiPriority w:val="99"/>
    <w:unhideWhenUsed/>
    <w:rsid w:val="004743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43F8"/>
  </w:style>
  <w:style w:type="character" w:styleId="Lienhypertextesuivivisit">
    <w:name w:val="FollowedHyperlink"/>
    <w:basedOn w:val="Policepardfaut"/>
    <w:uiPriority w:val="99"/>
    <w:semiHidden/>
    <w:unhideWhenUsed/>
    <w:rsid w:val="001D4CC2"/>
    <w:rPr>
      <w:color w:val="954F72" w:themeColor="followedHyperlink"/>
      <w:u w:val="single"/>
    </w:rPr>
  </w:style>
  <w:style w:type="character" w:styleId="Marquedecommentaire">
    <w:name w:val="annotation reference"/>
    <w:basedOn w:val="Policepardfaut"/>
    <w:uiPriority w:val="99"/>
    <w:semiHidden/>
    <w:unhideWhenUsed/>
    <w:rsid w:val="002C02B8"/>
    <w:rPr>
      <w:sz w:val="16"/>
      <w:szCs w:val="16"/>
    </w:rPr>
  </w:style>
  <w:style w:type="paragraph" w:styleId="Commentaire">
    <w:name w:val="annotation text"/>
    <w:basedOn w:val="Normal"/>
    <w:link w:val="CommentaireCar"/>
    <w:uiPriority w:val="99"/>
    <w:unhideWhenUsed/>
    <w:rsid w:val="002C02B8"/>
    <w:pPr>
      <w:spacing w:line="240" w:lineRule="auto"/>
    </w:pPr>
    <w:rPr>
      <w:sz w:val="20"/>
      <w:szCs w:val="20"/>
    </w:rPr>
  </w:style>
  <w:style w:type="character" w:customStyle="1" w:styleId="CommentaireCar">
    <w:name w:val="Commentaire Car"/>
    <w:basedOn w:val="Policepardfaut"/>
    <w:link w:val="Commentaire"/>
    <w:uiPriority w:val="99"/>
    <w:rsid w:val="002C02B8"/>
    <w:rPr>
      <w:sz w:val="20"/>
      <w:szCs w:val="20"/>
    </w:rPr>
  </w:style>
  <w:style w:type="paragraph" w:styleId="Objetducommentaire">
    <w:name w:val="annotation subject"/>
    <w:basedOn w:val="Commentaire"/>
    <w:next w:val="Commentaire"/>
    <w:link w:val="ObjetducommentaireCar"/>
    <w:uiPriority w:val="99"/>
    <w:semiHidden/>
    <w:unhideWhenUsed/>
    <w:rsid w:val="002C02B8"/>
    <w:rPr>
      <w:b/>
      <w:bCs/>
    </w:rPr>
  </w:style>
  <w:style w:type="character" w:customStyle="1" w:styleId="ObjetducommentaireCar">
    <w:name w:val="Objet du commentaire Car"/>
    <w:basedOn w:val="CommentaireCar"/>
    <w:link w:val="Objetducommentaire"/>
    <w:uiPriority w:val="99"/>
    <w:semiHidden/>
    <w:rsid w:val="002C02B8"/>
    <w:rPr>
      <w:b/>
      <w:bCs/>
      <w:sz w:val="20"/>
      <w:szCs w:val="20"/>
    </w:rPr>
  </w:style>
  <w:style w:type="character" w:customStyle="1" w:styleId="ui-provider">
    <w:name w:val="ui-provider"/>
    <w:basedOn w:val="Policepardfaut"/>
    <w:rsid w:val="008D212A"/>
  </w:style>
  <w:style w:type="paragraph" w:styleId="Rvision">
    <w:name w:val="Revision"/>
    <w:hidden/>
    <w:uiPriority w:val="99"/>
    <w:semiHidden/>
    <w:rsid w:val="004A1495"/>
    <w:pPr>
      <w:spacing w:after="0" w:line="240" w:lineRule="auto"/>
    </w:pPr>
  </w:style>
  <w:style w:type="paragraph" w:styleId="Corpsdetexte">
    <w:name w:val="Body Text"/>
    <w:basedOn w:val="Normal"/>
    <w:link w:val="CorpsdetexteCar"/>
    <w:uiPriority w:val="99"/>
    <w:semiHidden/>
    <w:unhideWhenUsed/>
    <w:rsid w:val="006964CA"/>
    <w:pPr>
      <w:spacing w:after="120"/>
    </w:pPr>
  </w:style>
  <w:style w:type="character" w:customStyle="1" w:styleId="CorpsdetexteCar">
    <w:name w:val="Corps de texte Car"/>
    <w:basedOn w:val="Policepardfaut"/>
    <w:link w:val="Corpsdetexte"/>
    <w:uiPriority w:val="99"/>
    <w:semiHidden/>
    <w:rsid w:val="006964CA"/>
  </w:style>
  <w:style w:type="table" w:styleId="Grilledutableau">
    <w:name w:val="Table Grid"/>
    <w:basedOn w:val="TableauNormal"/>
    <w:uiPriority w:val="39"/>
    <w:rsid w:val="006635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47164">
      <w:bodyDiv w:val="1"/>
      <w:marLeft w:val="0"/>
      <w:marRight w:val="0"/>
      <w:marTop w:val="0"/>
      <w:marBottom w:val="0"/>
      <w:divBdr>
        <w:top w:val="none" w:sz="0" w:space="0" w:color="auto"/>
        <w:left w:val="none" w:sz="0" w:space="0" w:color="auto"/>
        <w:bottom w:val="none" w:sz="0" w:space="0" w:color="auto"/>
        <w:right w:val="none" w:sz="0" w:space="0" w:color="auto"/>
      </w:divBdr>
    </w:div>
    <w:div w:id="244848622">
      <w:bodyDiv w:val="1"/>
      <w:marLeft w:val="0"/>
      <w:marRight w:val="0"/>
      <w:marTop w:val="0"/>
      <w:marBottom w:val="0"/>
      <w:divBdr>
        <w:top w:val="none" w:sz="0" w:space="0" w:color="auto"/>
        <w:left w:val="none" w:sz="0" w:space="0" w:color="auto"/>
        <w:bottom w:val="none" w:sz="0" w:space="0" w:color="auto"/>
        <w:right w:val="none" w:sz="0" w:space="0" w:color="auto"/>
      </w:divBdr>
      <w:divsChild>
        <w:div w:id="191773952">
          <w:marLeft w:val="0"/>
          <w:marRight w:val="0"/>
          <w:marTop w:val="0"/>
          <w:marBottom w:val="0"/>
          <w:divBdr>
            <w:top w:val="none" w:sz="0" w:space="0" w:color="auto"/>
            <w:left w:val="none" w:sz="0" w:space="0" w:color="auto"/>
            <w:bottom w:val="none" w:sz="0" w:space="0" w:color="auto"/>
            <w:right w:val="none" w:sz="0" w:space="0" w:color="auto"/>
          </w:divBdr>
        </w:div>
        <w:div w:id="223755591">
          <w:marLeft w:val="0"/>
          <w:marRight w:val="0"/>
          <w:marTop w:val="0"/>
          <w:marBottom w:val="0"/>
          <w:divBdr>
            <w:top w:val="none" w:sz="0" w:space="0" w:color="auto"/>
            <w:left w:val="none" w:sz="0" w:space="0" w:color="auto"/>
            <w:bottom w:val="none" w:sz="0" w:space="0" w:color="auto"/>
            <w:right w:val="none" w:sz="0" w:space="0" w:color="auto"/>
          </w:divBdr>
        </w:div>
        <w:div w:id="300696277">
          <w:marLeft w:val="0"/>
          <w:marRight w:val="0"/>
          <w:marTop w:val="0"/>
          <w:marBottom w:val="0"/>
          <w:divBdr>
            <w:top w:val="none" w:sz="0" w:space="0" w:color="auto"/>
            <w:left w:val="none" w:sz="0" w:space="0" w:color="auto"/>
            <w:bottom w:val="none" w:sz="0" w:space="0" w:color="auto"/>
            <w:right w:val="none" w:sz="0" w:space="0" w:color="auto"/>
          </w:divBdr>
        </w:div>
        <w:div w:id="839010076">
          <w:marLeft w:val="0"/>
          <w:marRight w:val="0"/>
          <w:marTop w:val="0"/>
          <w:marBottom w:val="0"/>
          <w:divBdr>
            <w:top w:val="none" w:sz="0" w:space="0" w:color="auto"/>
            <w:left w:val="none" w:sz="0" w:space="0" w:color="auto"/>
            <w:bottom w:val="none" w:sz="0" w:space="0" w:color="auto"/>
            <w:right w:val="none" w:sz="0" w:space="0" w:color="auto"/>
          </w:divBdr>
        </w:div>
        <w:div w:id="1898471454">
          <w:marLeft w:val="0"/>
          <w:marRight w:val="0"/>
          <w:marTop w:val="0"/>
          <w:marBottom w:val="0"/>
          <w:divBdr>
            <w:top w:val="none" w:sz="0" w:space="0" w:color="auto"/>
            <w:left w:val="none" w:sz="0" w:space="0" w:color="auto"/>
            <w:bottom w:val="none" w:sz="0" w:space="0" w:color="auto"/>
            <w:right w:val="none" w:sz="0" w:space="0" w:color="auto"/>
          </w:divBdr>
        </w:div>
        <w:div w:id="2002847771">
          <w:marLeft w:val="0"/>
          <w:marRight w:val="0"/>
          <w:marTop w:val="0"/>
          <w:marBottom w:val="0"/>
          <w:divBdr>
            <w:top w:val="none" w:sz="0" w:space="0" w:color="auto"/>
            <w:left w:val="none" w:sz="0" w:space="0" w:color="auto"/>
            <w:bottom w:val="none" w:sz="0" w:space="0" w:color="auto"/>
            <w:right w:val="none" w:sz="0" w:space="0" w:color="auto"/>
          </w:divBdr>
        </w:div>
      </w:divsChild>
    </w:div>
    <w:div w:id="270674986">
      <w:bodyDiv w:val="1"/>
      <w:marLeft w:val="0"/>
      <w:marRight w:val="0"/>
      <w:marTop w:val="0"/>
      <w:marBottom w:val="0"/>
      <w:divBdr>
        <w:top w:val="none" w:sz="0" w:space="0" w:color="auto"/>
        <w:left w:val="none" w:sz="0" w:space="0" w:color="auto"/>
        <w:bottom w:val="none" w:sz="0" w:space="0" w:color="auto"/>
        <w:right w:val="none" w:sz="0" w:space="0" w:color="auto"/>
      </w:divBdr>
    </w:div>
    <w:div w:id="459760847">
      <w:bodyDiv w:val="1"/>
      <w:marLeft w:val="0"/>
      <w:marRight w:val="0"/>
      <w:marTop w:val="0"/>
      <w:marBottom w:val="0"/>
      <w:divBdr>
        <w:top w:val="none" w:sz="0" w:space="0" w:color="auto"/>
        <w:left w:val="none" w:sz="0" w:space="0" w:color="auto"/>
        <w:bottom w:val="none" w:sz="0" w:space="0" w:color="auto"/>
        <w:right w:val="none" w:sz="0" w:space="0" w:color="auto"/>
      </w:divBdr>
    </w:div>
    <w:div w:id="742919920">
      <w:bodyDiv w:val="1"/>
      <w:marLeft w:val="0"/>
      <w:marRight w:val="0"/>
      <w:marTop w:val="0"/>
      <w:marBottom w:val="0"/>
      <w:divBdr>
        <w:top w:val="none" w:sz="0" w:space="0" w:color="auto"/>
        <w:left w:val="none" w:sz="0" w:space="0" w:color="auto"/>
        <w:bottom w:val="none" w:sz="0" w:space="0" w:color="auto"/>
        <w:right w:val="none" w:sz="0" w:space="0" w:color="auto"/>
      </w:divBdr>
    </w:div>
    <w:div w:id="753939921">
      <w:bodyDiv w:val="1"/>
      <w:marLeft w:val="0"/>
      <w:marRight w:val="0"/>
      <w:marTop w:val="0"/>
      <w:marBottom w:val="0"/>
      <w:divBdr>
        <w:top w:val="none" w:sz="0" w:space="0" w:color="auto"/>
        <w:left w:val="none" w:sz="0" w:space="0" w:color="auto"/>
        <w:bottom w:val="none" w:sz="0" w:space="0" w:color="auto"/>
        <w:right w:val="none" w:sz="0" w:space="0" w:color="auto"/>
      </w:divBdr>
    </w:div>
    <w:div w:id="786659375">
      <w:bodyDiv w:val="1"/>
      <w:marLeft w:val="0"/>
      <w:marRight w:val="0"/>
      <w:marTop w:val="0"/>
      <w:marBottom w:val="0"/>
      <w:divBdr>
        <w:top w:val="none" w:sz="0" w:space="0" w:color="auto"/>
        <w:left w:val="none" w:sz="0" w:space="0" w:color="auto"/>
        <w:bottom w:val="none" w:sz="0" w:space="0" w:color="auto"/>
        <w:right w:val="none" w:sz="0" w:space="0" w:color="auto"/>
      </w:divBdr>
    </w:div>
    <w:div w:id="926769852">
      <w:bodyDiv w:val="1"/>
      <w:marLeft w:val="0"/>
      <w:marRight w:val="0"/>
      <w:marTop w:val="0"/>
      <w:marBottom w:val="0"/>
      <w:divBdr>
        <w:top w:val="none" w:sz="0" w:space="0" w:color="auto"/>
        <w:left w:val="none" w:sz="0" w:space="0" w:color="auto"/>
        <w:bottom w:val="none" w:sz="0" w:space="0" w:color="auto"/>
        <w:right w:val="none" w:sz="0" w:space="0" w:color="auto"/>
      </w:divBdr>
    </w:div>
    <w:div w:id="960068654">
      <w:bodyDiv w:val="1"/>
      <w:marLeft w:val="0"/>
      <w:marRight w:val="0"/>
      <w:marTop w:val="0"/>
      <w:marBottom w:val="0"/>
      <w:divBdr>
        <w:top w:val="none" w:sz="0" w:space="0" w:color="auto"/>
        <w:left w:val="none" w:sz="0" w:space="0" w:color="auto"/>
        <w:bottom w:val="none" w:sz="0" w:space="0" w:color="auto"/>
        <w:right w:val="none" w:sz="0" w:space="0" w:color="auto"/>
      </w:divBdr>
    </w:div>
    <w:div w:id="1179345757">
      <w:bodyDiv w:val="1"/>
      <w:marLeft w:val="0"/>
      <w:marRight w:val="0"/>
      <w:marTop w:val="0"/>
      <w:marBottom w:val="0"/>
      <w:divBdr>
        <w:top w:val="none" w:sz="0" w:space="0" w:color="auto"/>
        <w:left w:val="none" w:sz="0" w:space="0" w:color="auto"/>
        <w:bottom w:val="none" w:sz="0" w:space="0" w:color="auto"/>
        <w:right w:val="none" w:sz="0" w:space="0" w:color="auto"/>
      </w:divBdr>
    </w:div>
    <w:div w:id="1369261296">
      <w:bodyDiv w:val="1"/>
      <w:marLeft w:val="0"/>
      <w:marRight w:val="0"/>
      <w:marTop w:val="0"/>
      <w:marBottom w:val="0"/>
      <w:divBdr>
        <w:top w:val="none" w:sz="0" w:space="0" w:color="auto"/>
        <w:left w:val="none" w:sz="0" w:space="0" w:color="auto"/>
        <w:bottom w:val="none" w:sz="0" w:space="0" w:color="auto"/>
        <w:right w:val="none" w:sz="0" w:space="0" w:color="auto"/>
      </w:divBdr>
    </w:div>
    <w:div w:id="1406607134">
      <w:bodyDiv w:val="1"/>
      <w:marLeft w:val="0"/>
      <w:marRight w:val="0"/>
      <w:marTop w:val="0"/>
      <w:marBottom w:val="0"/>
      <w:divBdr>
        <w:top w:val="none" w:sz="0" w:space="0" w:color="auto"/>
        <w:left w:val="none" w:sz="0" w:space="0" w:color="auto"/>
        <w:bottom w:val="none" w:sz="0" w:space="0" w:color="auto"/>
        <w:right w:val="none" w:sz="0" w:space="0" w:color="auto"/>
      </w:divBdr>
    </w:div>
    <w:div w:id="1504081042">
      <w:bodyDiv w:val="1"/>
      <w:marLeft w:val="0"/>
      <w:marRight w:val="0"/>
      <w:marTop w:val="0"/>
      <w:marBottom w:val="0"/>
      <w:divBdr>
        <w:top w:val="none" w:sz="0" w:space="0" w:color="auto"/>
        <w:left w:val="none" w:sz="0" w:space="0" w:color="auto"/>
        <w:bottom w:val="none" w:sz="0" w:space="0" w:color="auto"/>
        <w:right w:val="none" w:sz="0" w:space="0" w:color="auto"/>
      </w:divBdr>
    </w:div>
    <w:div w:id="1518152209">
      <w:bodyDiv w:val="1"/>
      <w:marLeft w:val="0"/>
      <w:marRight w:val="0"/>
      <w:marTop w:val="0"/>
      <w:marBottom w:val="0"/>
      <w:divBdr>
        <w:top w:val="none" w:sz="0" w:space="0" w:color="auto"/>
        <w:left w:val="none" w:sz="0" w:space="0" w:color="auto"/>
        <w:bottom w:val="none" w:sz="0" w:space="0" w:color="auto"/>
        <w:right w:val="none" w:sz="0" w:space="0" w:color="auto"/>
      </w:divBdr>
    </w:div>
    <w:div w:id="1543178012">
      <w:bodyDiv w:val="1"/>
      <w:marLeft w:val="0"/>
      <w:marRight w:val="0"/>
      <w:marTop w:val="0"/>
      <w:marBottom w:val="0"/>
      <w:divBdr>
        <w:top w:val="none" w:sz="0" w:space="0" w:color="auto"/>
        <w:left w:val="none" w:sz="0" w:space="0" w:color="auto"/>
        <w:bottom w:val="none" w:sz="0" w:space="0" w:color="auto"/>
        <w:right w:val="none" w:sz="0" w:space="0" w:color="auto"/>
      </w:divBdr>
    </w:div>
    <w:div w:id="1550805201">
      <w:bodyDiv w:val="1"/>
      <w:marLeft w:val="0"/>
      <w:marRight w:val="0"/>
      <w:marTop w:val="0"/>
      <w:marBottom w:val="0"/>
      <w:divBdr>
        <w:top w:val="none" w:sz="0" w:space="0" w:color="auto"/>
        <w:left w:val="none" w:sz="0" w:space="0" w:color="auto"/>
        <w:bottom w:val="none" w:sz="0" w:space="0" w:color="auto"/>
        <w:right w:val="none" w:sz="0" w:space="0" w:color="auto"/>
      </w:divBdr>
    </w:div>
    <w:div w:id="1553541894">
      <w:bodyDiv w:val="1"/>
      <w:marLeft w:val="0"/>
      <w:marRight w:val="0"/>
      <w:marTop w:val="0"/>
      <w:marBottom w:val="0"/>
      <w:divBdr>
        <w:top w:val="none" w:sz="0" w:space="0" w:color="auto"/>
        <w:left w:val="none" w:sz="0" w:space="0" w:color="auto"/>
        <w:bottom w:val="none" w:sz="0" w:space="0" w:color="auto"/>
        <w:right w:val="none" w:sz="0" w:space="0" w:color="auto"/>
      </w:divBdr>
    </w:div>
    <w:div w:id="1786460812">
      <w:bodyDiv w:val="1"/>
      <w:marLeft w:val="0"/>
      <w:marRight w:val="0"/>
      <w:marTop w:val="0"/>
      <w:marBottom w:val="0"/>
      <w:divBdr>
        <w:top w:val="none" w:sz="0" w:space="0" w:color="auto"/>
        <w:left w:val="none" w:sz="0" w:space="0" w:color="auto"/>
        <w:bottom w:val="none" w:sz="0" w:space="0" w:color="auto"/>
        <w:right w:val="none" w:sz="0" w:space="0" w:color="auto"/>
      </w:divBdr>
    </w:div>
    <w:div w:id="186347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instagram.com/banquedesterr/"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cid:image003.png@01DAA54C.F2EC9760" TargetMode="External"/><Relationship Id="rId17" Type="http://schemas.openxmlformats.org/officeDocument/2006/relationships/image" Target="media/image6.png"/><Relationship Id="rId25" Type="http://schemas.openxmlformats.org/officeDocument/2006/relationships/image" Target="cid:image004.jpg@01DA9A1F.55E33BF0" TargetMode="External"/><Relationship Id="rId33" Type="http://schemas.openxmlformats.org/officeDocument/2006/relationships/hyperlink" Target="mailto:marie.bonnefous@gireve.com" TargetMode="Externa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hyperlink" Target="https://www.banquedesterritoires.fr/" TargetMode="External"/><Relationship Id="rId29" Type="http://schemas.openxmlformats.org/officeDocument/2006/relationships/hyperlink" Target="https://www.youtube.com/channel/UCEYjEYFApmoF217Ks1Tg4S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hyperlink" Target="http://www.gireve.com"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linkedin.com/showcase/banque-des-territoires-par-la-caisse-des-depots/" TargetMode="External"/><Relationship Id="rId28" Type="http://schemas.openxmlformats.org/officeDocument/2006/relationships/image" Target="cid:image005.jpg@01DA9A1F.55E33BF0" TargetMode="External"/><Relationship Id="rId36" Type="http://schemas.openxmlformats.org/officeDocument/2006/relationships/theme" Target="theme/theme1.xml"/><Relationship Id="rId10" Type="http://schemas.openxmlformats.org/officeDocument/2006/relationships/hyperlink" Target="https://partechpartners.com/" TargetMode="External"/><Relationship Id="rId19" Type="http://schemas.openxmlformats.org/officeDocument/2006/relationships/hyperlink" Target="mailto:sophie.paturle@demeter-im.com" TargetMode="External"/><Relationship Id="rId31" Type="http://schemas.openxmlformats.org/officeDocument/2006/relationships/image" Target="cid:image006.jpg@01DA9A1F.55E33BF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cid:image002.jpg@01DA9A1F.55E33BF0" TargetMode="External"/><Relationship Id="rId27" Type="http://schemas.openxmlformats.org/officeDocument/2006/relationships/image" Target="media/image10.jpeg"/><Relationship Id="rId30" Type="http://schemas.openxmlformats.org/officeDocument/2006/relationships/image" Target="media/image11.jpeg"/><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8" ma:contentTypeDescription="Crée un document." ma:contentTypeScope="" ma:versionID="cb83012727b4fdb9d59ff7f375b90b8f">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c16eb4ac0f64df795688085ca538c727"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aa3f9e8-f64c-41e0-9a5f-9a2d22ea97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f846d42-0271-4af2-b9e9-d55bf0ba7129}" ma:internalName="TaxCatchAll" ma:showField="CatchAllData" ma:web="3aab1784-85b6-49ee-b352-56781bb7b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9d5599-9968-43ad-ab94-627c0b690240">
      <Terms xmlns="http://schemas.microsoft.com/office/infopath/2007/PartnerControls"/>
    </lcf76f155ced4ddcb4097134ff3c332f>
    <TaxCatchAll xmlns="3aab1784-85b6-49ee-b352-56781bb7b6de" xsi:nil="true"/>
    <SharedWithUsers xmlns="3aab1784-85b6-49ee-b352-56781bb7b6de">
      <UserInfo>
        <DisplayName>Marie BONNEFOUS</DisplayName>
        <AccountId>12</AccountId>
        <AccountType/>
      </UserInfo>
      <UserInfo>
        <DisplayName>Eric PLAQUET</DisplayName>
        <AccountId>158</AccountId>
        <AccountType/>
      </UserInfo>
    </SharedWithUsers>
  </documentManagement>
</p:properties>
</file>

<file path=customXml/itemProps1.xml><?xml version="1.0" encoding="utf-8"?>
<ds:datastoreItem xmlns:ds="http://schemas.openxmlformats.org/officeDocument/2006/customXml" ds:itemID="{C6C2A20B-B7DE-4FB8-B913-C3446FCF1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42854-0D1B-409F-9D5F-7A7F34B7B39A}">
  <ds:schemaRefs>
    <ds:schemaRef ds:uri="http://schemas.microsoft.com/sharepoint/v3/contenttype/forms"/>
  </ds:schemaRefs>
</ds:datastoreItem>
</file>

<file path=customXml/itemProps3.xml><?xml version="1.0" encoding="utf-8"?>
<ds:datastoreItem xmlns:ds="http://schemas.openxmlformats.org/officeDocument/2006/customXml" ds:itemID="{B2B685A5-4989-4908-90E5-AAF0B146FBE6}">
  <ds:schemaRefs>
    <ds:schemaRef ds:uri="http://schemas.microsoft.com/office/2006/metadata/properties"/>
    <ds:schemaRef ds:uri="http://schemas.microsoft.com/office/infopath/2007/PartnerControls"/>
    <ds:schemaRef ds:uri="6c9d5599-9968-43ad-ab94-627c0b690240"/>
    <ds:schemaRef ds:uri="3aab1784-85b6-49ee-b352-56781bb7b6de"/>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1834</Words>
  <Characters>10088</Characters>
  <Application>Microsoft Office Word</Application>
  <DocSecurity>0</DocSecurity>
  <Lines>84</Lines>
  <Paragraphs>23</Paragraphs>
  <ScaleCrop>false</ScaleCrop>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BONNEFOUS</dc:creator>
  <cp:keywords/>
  <dc:description/>
  <cp:lastModifiedBy>Marie BONNEFOUS</cp:lastModifiedBy>
  <cp:revision>5</cp:revision>
  <dcterms:created xsi:type="dcterms:W3CDTF">2024-05-30T14:15:00Z</dcterms:created>
  <dcterms:modified xsi:type="dcterms:W3CDTF">2024-06-04T11:54:00Z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0x0101008342A95871B91143AF3A9551D7AA93FA</vt:lpwstr>
  </property>
  <property fmtid="{D5CDD505-2E9C-101B-9397-08002B2CF9AE}" pid="3" name="MediaServiceImageTags">
    <vt:lpwstr/>
  </property>
</Properties>
</file>